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color w:val="auto"/>
          <w:sz w:val="44"/>
          <w:szCs w:val="44"/>
        </w:rPr>
      </w:pPr>
      <w:bookmarkStart w:id="3" w:name="_GoBack"/>
    </w:p>
    <w:p>
      <w:pPr>
        <w:ind w:firstLine="2182" w:firstLineChars="494"/>
        <w:rPr>
          <w:rFonts w:hint="default" w:ascii="Times New Roman" w:hAnsi="Times New Roman" w:cs="Times New Roman"/>
          <w:b/>
          <w:color w:val="auto"/>
          <w:sz w:val="44"/>
          <w:szCs w:val="44"/>
        </w:rPr>
      </w:pPr>
    </w:p>
    <w:p>
      <w:pPr>
        <w:ind w:firstLine="442" w:firstLineChars="100"/>
        <w:rPr>
          <w:rFonts w:hint="default" w:ascii="Times New Roman" w:hAnsi="Times New Roman" w:cs="Times New Roman"/>
          <w:b/>
          <w:color w:val="auto"/>
          <w:sz w:val="44"/>
          <w:szCs w:val="44"/>
        </w:rPr>
      </w:pPr>
    </w:p>
    <w:p>
      <w:pPr>
        <w:ind w:left="-420" w:leftChars="-200" w:right="-512" w:rightChars="-244"/>
        <w:jc w:val="center"/>
        <w:rPr>
          <w:rFonts w:hint="default" w:ascii="Times New Roman" w:hAnsi="Times New Roman" w:eastAsia="方正小标宋_GBK" w:cs="Times New Roman"/>
          <w:bCs/>
          <w:color w:val="auto"/>
          <w:sz w:val="48"/>
          <w:szCs w:val="48"/>
        </w:rPr>
      </w:pPr>
      <w:r>
        <w:rPr>
          <w:rFonts w:hint="default" w:ascii="Times New Roman" w:hAnsi="Times New Roman" w:eastAsia="方正小标宋_GBK" w:cs="Times New Roman"/>
          <w:bCs/>
          <w:color w:val="auto"/>
          <w:sz w:val="48"/>
          <w:szCs w:val="48"/>
          <w:lang w:eastAsia="zh-CN"/>
        </w:rPr>
        <w:t>福建石狮</w:t>
      </w:r>
      <w:r>
        <w:rPr>
          <w:rFonts w:hint="default" w:ascii="Times New Roman" w:hAnsi="Times New Roman" w:eastAsia="方正小标宋_GBK" w:cs="Times New Roman"/>
          <w:bCs/>
          <w:color w:val="auto"/>
          <w:sz w:val="48"/>
          <w:szCs w:val="48"/>
        </w:rPr>
        <w:t>渝农商村镇银行有限责任公司</w:t>
      </w:r>
    </w:p>
    <w:p>
      <w:pPr>
        <w:ind w:firstLine="2380" w:firstLineChars="494"/>
        <w:rPr>
          <w:rFonts w:hint="default" w:ascii="Times New Roman" w:hAnsi="Times New Roman" w:cs="Times New Roman"/>
          <w:b/>
          <w:color w:val="auto"/>
          <w:sz w:val="48"/>
          <w:szCs w:val="48"/>
        </w:rPr>
      </w:pPr>
    </w:p>
    <w:p>
      <w:pPr>
        <w:rPr>
          <w:rFonts w:hint="default" w:ascii="Times New Roman" w:hAnsi="Times New Roman" w:eastAsia="方正小标宋_GBK" w:cs="Times New Roman"/>
          <w:bCs/>
          <w:color w:val="auto"/>
          <w:sz w:val="44"/>
          <w:szCs w:val="44"/>
        </w:rPr>
      </w:pPr>
    </w:p>
    <w:p>
      <w:pPr>
        <w:jc w:val="center"/>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20</w:t>
      </w:r>
      <w:r>
        <w:rPr>
          <w:rFonts w:hint="default" w:ascii="Times New Roman" w:hAnsi="Times New Roman" w:eastAsia="方正小标宋_GBK" w:cs="Times New Roman"/>
          <w:bCs/>
          <w:color w:val="auto"/>
          <w:sz w:val="44"/>
          <w:szCs w:val="44"/>
          <w:lang w:val="en-US" w:eastAsia="zh-CN"/>
        </w:rPr>
        <w:t>22</w:t>
      </w:r>
      <w:r>
        <w:rPr>
          <w:rFonts w:hint="default" w:ascii="Times New Roman" w:hAnsi="Times New Roman" w:eastAsia="方正小标宋_GBK" w:cs="Times New Roman"/>
          <w:bCs/>
          <w:color w:val="auto"/>
          <w:sz w:val="44"/>
          <w:szCs w:val="44"/>
        </w:rPr>
        <w:t>年度</w:t>
      </w:r>
    </w:p>
    <w:p>
      <w:pPr>
        <w:jc w:val="center"/>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信</w:t>
      </w:r>
    </w:p>
    <w:p>
      <w:pPr>
        <w:jc w:val="center"/>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息</w:t>
      </w:r>
    </w:p>
    <w:p>
      <w:pPr>
        <w:jc w:val="center"/>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披</w:t>
      </w:r>
    </w:p>
    <w:p>
      <w:pPr>
        <w:jc w:val="center"/>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露</w:t>
      </w:r>
    </w:p>
    <w:p>
      <w:pPr>
        <w:jc w:val="center"/>
        <w:rPr>
          <w:rFonts w:hint="default" w:ascii="Times New Roman" w:hAnsi="Times New Roman" w:eastAsia="方正小标宋_GBK" w:cs="Times New Roman"/>
          <w:bCs/>
          <w:color w:val="auto"/>
          <w:sz w:val="44"/>
          <w:szCs w:val="44"/>
        </w:rPr>
      </w:pPr>
      <w:r>
        <w:rPr>
          <w:rFonts w:hint="default" w:ascii="Times New Roman" w:hAnsi="Times New Roman" w:eastAsia="方正小标宋_GBK" w:cs="Times New Roman"/>
          <w:bCs/>
          <w:color w:val="auto"/>
          <w:sz w:val="44"/>
          <w:szCs w:val="44"/>
        </w:rPr>
        <w:t>报</w:t>
      </w:r>
    </w:p>
    <w:p>
      <w:pPr>
        <w:jc w:val="center"/>
        <w:rPr>
          <w:rFonts w:hint="default" w:ascii="Times New Roman" w:hAnsi="Times New Roman" w:cs="Times New Roman"/>
          <w:b/>
          <w:color w:val="auto"/>
          <w:sz w:val="44"/>
          <w:szCs w:val="44"/>
        </w:rPr>
      </w:pPr>
      <w:r>
        <w:rPr>
          <w:rFonts w:hint="default" w:ascii="Times New Roman" w:hAnsi="Times New Roman" w:eastAsia="方正小标宋_GBK" w:cs="Times New Roman"/>
          <w:bCs/>
          <w:color w:val="auto"/>
          <w:sz w:val="44"/>
          <w:szCs w:val="44"/>
        </w:rPr>
        <w:t>告</w:t>
      </w:r>
    </w:p>
    <w:p>
      <w:pPr>
        <w:jc w:val="center"/>
        <w:rPr>
          <w:rFonts w:hint="default" w:ascii="Times New Roman" w:hAnsi="Times New Roman" w:cs="Times New Roman"/>
          <w:b/>
          <w:color w:val="auto"/>
          <w:sz w:val="44"/>
          <w:szCs w:val="44"/>
        </w:rPr>
      </w:pPr>
    </w:p>
    <w:p>
      <w:pPr>
        <w:jc w:val="center"/>
        <w:rPr>
          <w:rFonts w:hint="default" w:ascii="Times New Roman" w:hAnsi="Times New Roman" w:cs="Times New Roman"/>
          <w:b/>
          <w:color w:val="auto"/>
          <w:sz w:val="44"/>
          <w:szCs w:val="44"/>
        </w:rPr>
      </w:pPr>
    </w:p>
    <w:p>
      <w:pPr>
        <w:widowControl/>
        <w:spacing w:line="360" w:lineRule="auto"/>
        <w:jc w:val="center"/>
        <w:rPr>
          <w:rFonts w:hint="default" w:ascii="Times New Roman" w:hAnsi="Times New Roman" w:eastAsia="仿宋_GB2312" w:cs="Times New Roman"/>
          <w:b/>
          <w:bCs/>
          <w:color w:val="auto"/>
          <w:kern w:val="0"/>
          <w:sz w:val="32"/>
          <w:szCs w:val="32"/>
          <w:lang w:eastAsia="zh-CN"/>
        </w:rPr>
      </w:pPr>
      <w:r>
        <w:rPr>
          <w:rFonts w:hint="default" w:ascii="Times New Roman" w:hAnsi="Times New Roman" w:eastAsia="仿宋_GB2312" w:cs="Times New Roman"/>
          <w:b/>
          <w:bCs/>
          <w:color w:val="auto"/>
          <w:kern w:val="0"/>
          <w:sz w:val="32"/>
          <w:szCs w:val="32"/>
          <w:lang w:eastAsia="zh-CN"/>
        </w:rPr>
        <w:drawing>
          <wp:inline distT="0" distB="0" distL="114300" distR="114300">
            <wp:extent cx="4096385" cy="690880"/>
            <wp:effectExtent l="0" t="0" r="3175" b="10160"/>
            <wp:docPr id="2" name="图片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2"/>
                    <pic:cNvPicPr>
                      <a:picLocks noChangeAspect="1"/>
                    </pic:cNvPicPr>
                  </pic:nvPicPr>
                  <pic:blipFill>
                    <a:blip r:embed="rId7"/>
                    <a:stretch>
                      <a:fillRect/>
                    </a:stretch>
                  </pic:blipFill>
                  <pic:spPr>
                    <a:xfrm>
                      <a:off x="0" y="0"/>
                      <a:ext cx="4096385" cy="690880"/>
                    </a:xfrm>
                    <a:prstGeom prst="rect">
                      <a:avLst/>
                    </a:prstGeom>
                  </pic:spPr>
                </pic:pic>
              </a:graphicData>
            </a:graphic>
          </wp:inline>
        </w:drawing>
      </w:r>
    </w:p>
    <w:p>
      <w:pPr>
        <w:widowControl/>
        <w:spacing w:line="360" w:lineRule="auto"/>
        <w:rPr>
          <w:rFonts w:hint="default" w:ascii="Times New Roman" w:hAnsi="Times New Roman" w:eastAsia="仿宋_GB2312" w:cs="Times New Roman"/>
          <w:b/>
          <w:color w:val="auto"/>
          <w:kern w:val="0"/>
          <w:sz w:val="32"/>
          <w:szCs w:val="32"/>
        </w:rPr>
      </w:pPr>
    </w:p>
    <w:p>
      <w:pPr>
        <w:widowControl/>
        <w:spacing w:line="360" w:lineRule="auto"/>
        <w:jc w:val="center"/>
        <w:rPr>
          <w:rFonts w:hint="default" w:ascii="Times New Roman" w:hAnsi="Times New Roman" w:eastAsia="仿宋_GB2312" w:cs="Times New Roman"/>
          <w:b/>
          <w:color w:val="auto"/>
          <w:kern w:val="0"/>
          <w:sz w:val="32"/>
          <w:szCs w:val="32"/>
        </w:rPr>
      </w:pPr>
      <w:r>
        <w:rPr>
          <w:rFonts w:hint="default" w:ascii="Times New Roman" w:hAnsi="Times New Roman" w:eastAsia="仿宋_GB2312" w:cs="Times New Roman"/>
          <w:b/>
          <w:color w:val="auto"/>
          <w:kern w:val="0"/>
          <w:sz w:val="36"/>
          <w:szCs w:val="36"/>
        </w:rPr>
        <w:t>重要提示</w:t>
      </w:r>
    </w:p>
    <w:p>
      <w:pPr>
        <w:widowControl/>
        <w:spacing w:line="360" w:lineRule="auto"/>
        <w:ind w:firstLine="640" w:firstLineChars="200"/>
        <w:jc w:val="left"/>
        <w:rPr>
          <w:rFonts w:hint="default" w:ascii="Times New Roman" w:hAnsi="Times New Roman" w:eastAsia="仿宋_GB2312" w:cs="Times New Roman"/>
          <w:color w:val="auto"/>
          <w:kern w:val="0"/>
          <w:sz w:val="32"/>
          <w:szCs w:val="32"/>
        </w:rPr>
      </w:pPr>
    </w:p>
    <w:p>
      <w:pPr>
        <w:widowControl/>
        <w:spacing w:line="360" w:lineRule="auto"/>
        <w:ind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一、本公司执行董事、高级管理人员保证本报告所载资料不存在任何虚假记载、误导性陈述或者重大遗漏，并对其内容的真实性、准确性和完整性承担责任。</w:t>
      </w:r>
    </w:p>
    <w:p>
      <w:pPr>
        <w:widowControl/>
        <w:spacing w:line="360" w:lineRule="auto"/>
        <w:ind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二、20</w:t>
      </w:r>
      <w:r>
        <w:rPr>
          <w:rFonts w:hint="default" w:ascii="Times New Roman" w:hAnsi="Times New Roman" w:eastAsia="仿宋_GB2312" w:cs="Times New Roman"/>
          <w:color w:val="auto"/>
          <w:kern w:val="0"/>
          <w:sz w:val="32"/>
          <w:szCs w:val="32"/>
          <w:lang w:val="en-US" w:eastAsia="zh-CN"/>
        </w:rPr>
        <w:t>22</w:t>
      </w:r>
      <w:r>
        <w:rPr>
          <w:rFonts w:hint="default" w:ascii="Times New Roman" w:hAnsi="Times New Roman" w:eastAsia="仿宋_GB2312" w:cs="Times New Roman"/>
          <w:color w:val="auto"/>
          <w:kern w:val="0"/>
          <w:sz w:val="32"/>
          <w:szCs w:val="32"/>
        </w:rPr>
        <w:t>年度按企业会计准则编制的财务数据已经</w:t>
      </w:r>
      <w:r>
        <w:rPr>
          <w:rFonts w:hint="default" w:ascii="Times New Roman" w:hAnsi="Times New Roman" w:eastAsia="仿宋_GB2312" w:cs="Times New Roman"/>
          <w:color w:val="auto"/>
          <w:kern w:val="0"/>
          <w:sz w:val="32"/>
          <w:szCs w:val="32"/>
          <w:lang w:eastAsia="zh-CN"/>
        </w:rPr>
        <w:t>毕马威华振会计师事务所（特殊普通合伙）</w:t>
      </w:r>
      <w:r>
        <w:rPr>
          <w:rFonts w:hint="default" w:ascii="Times New Roman" w:hAnsi="Times New Roman" w:eastAsia="仿宋_GB2312" w:cs="Times New Roman"/>
          <w:color w:val="auto"/>
          <w:kern w:val="0"/>
          <w:sz w:val="32"/>
          <w:szCs w:val="32"/>
        </w:rPr>
        <w:t>进行了审计，并出具了标准无保留意见的审计报告。</w:t>
      </w:r>
    </w:p>
    <w:p>
      <w:pPr>
        <w:widowControl/>
        <w:spacing w:line="360" w:lineRule="auto"/>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xml:space="preserve">                            </w:t>
      </w:r>
    </w:p>
    <w:p>
      <w:pPr>
        <w:widowControl/>
        <w:spacing w:line="360" w:lineRule="auto"/>
        <w:jc w:val="left"/>
        <w:rPr>
          <w:rFonts w:hint="default" w:ascii="Times New Roman" w:hAnsi="Times New Roman" w:eastAsia="仿宋_GB2312" w:cs="Times New Roman"/>
          <w:color w:val="auto"/>
          <w:kern w:val="0"/>
          <w:sz w:val="32"/>
          <w:szCs w:val="32"/>
        </w:rPr>
      </w:pPr>
    </w:p>
    <w:p>
      <w:pPr>
        <w:widowControl/>
        <w:spacing w:line="360" w:lineRule="auto"/>
        <w:ind w:firstLine="4320" w:firstLineChars="1350"/>
        <w:jc w:val="left"/>
        <w:rPr>
          <w:rFonts w:hint="default" w:ascii="Times New Roman" w:hAnsi="Times New Roman" w:eastAsia="仿宋_GB2312" w:cs="Times New Roman"/>
          <w:color w:val="auto"/>
          <w:kern w:val="0"/>
          <w:sz w:val="32"/>
          <w:szCs w:val="32"/>
        </w:rPr>
      </w:pPr>
    </w:p>
    <w:p>
      <w:pPr>
        <w:widowControl/>
        <w:spacing w:line="360" w:lineRule="auto"/>
        <w:ind w:firstLine="4320" w:firstLineChars="135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 202</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年</w:t>
      </w:r>
      <w:r>
        <w:rPr>
          <w:rFonts w:hint="default" w:ascii="Times New Roman" w:hAnsi="Times New Roman" w:eastAsia="仿宋_GB2312" w:cs="Times New Roman"/>
          <w:color w:val="auto"/>
          <w:kern w:val="0"/>
          <w:sz w:val="32"/>
          <w:szCs w:val="32"/>
          <w:lang w:val="en-US" w:eastAsia="zh-CN"/>
        </w:rPr>
        <w:t>5</w:t>
      </w:r>
      <w:r>
        <w:rPr>
          <w:rFonts w:hint="default" w:ascii="Times New Roman" w:hAnsi="Times New Roman" w:eastAsia="仿宋_GB2312" w:cs="Times New Roman"/>
          <w:color w:val="auto"/>
          <w:kern w:val="0"/>
          <w:sz w:val="32"/>
          <w:szCs w:val="32"/>
        </w:rPr>
        <w:t>月</w:t>
      </w:r>
      <w:r>
        <w:rPr>
          <w:rFonts w:hint="default"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日</w:t>
      </w:r>
    </w:p>
    <w:p>
      <w:pPr>
        <w:widowControl/>
        <w:spacing w:line="360" w:lineRule="auto"/>
        <w:jc w:val="center"/>
        <w:rPr>
          <w:rFonts w:hint="default" w:ascii="Times New Roman" w:hAnsi="Times New Roman" w:eastAsia="仿宋_GB2312" w:cs="Times New Roman"/>
          <w:b/>
          <w:color w:val="auto"/>
          <w:kern w:val="0"/>
          <w:sz w:val="32"/>
          <w:szCs w:val="32"/>
        </w:rPr>
      </w:pPr>
    </w:p>
    <w:p>
      <w:pPr>
        <w:widowControl/>
        <w:spacing w:line="360" w:lineRule="auto"/>
        <w:jc w:val="center"/>
        <w:rPr>
          <w:rFonts w:hint="default" w:ascii="Times New Roman" w:hAnsi="Times New Roman" w:eastAsia="仿宋_GB2312" w:cs="Times New Roman"/>
          <w:b/>
          <w:color w:val="auto"/>
          <w:kern w:val="0"/>
          <w:sz w:val="32"/>
          <w:szCs w:val="32"/>
        </w:rPr>
      </w:pPr>
    </w:p>
    <w:p>
      <w:pPr>
        <w:widowControl/>
        <w:spacing w:line="360" w:lineRule="auto"/>
        <w:rPr>
          <w:rFonts w:hint="default" w:ascii="Times New Roman" w:hAnsi="Times New Roman" w:eastAsia="仿宋_GB2312" w:cs="Times New Roman"/>
          <w:b/>
          <w:color w:val="auto"/>
          <w:kern w:val="0"/>
          <w:sz w:val="32"/>
          <w:szCs w:val="32"/>
        </w:rPr>
      </w:pPr>
    </w:p>
    <w:p>
      <w:pPr>
        <w:widowControl/>
        <w:spacing w:line="360" w:lineRule="auto"/>
        <w:jc w:val="center"/>
        <w:rPr>
          <w:rFonts w:hint="default" w:ascii="Times New Roman" w:hAnsi="Times New Roman" w:eastAsia="仿宋_GB2312" w:cs="Times New Roman"/>
          <w:b/>
          <w:color w:val="auto"/>
          <w:kern w:val="0"/>
          <w:sz w:val="32"/>
          <w:szCs w:val="32"/>
        </w:rPr>
      </w:pPr>
    </w:p>
    <w:p>
      <w:pPr>
        <w:widowControl/>
        <w:spacing w:line="360" w:lineRule="auto"/>
        <w:jc w:val="center"/>
        <w:rPr>
          <w:rFonts w:hint="default" w:ascii="Times New Roman" w:hAnsi="Times New Roman" w:eastAsia="仿宋_GB2312" w:cs="Times New Roman"/>
          <w:b/>
          <w:color w:val="auto"/>
          <w:kern w:val="0"/>
          <w:sz w:val="32"/>
          <w:szCs w:val="32"/>
        </w:rPr>
      </w:pPr>
    </w:p>
    <w:p>
      <w:pPr>
        <w:widowControl/>
        <w:spacing w:line="360" w:lineRule="auto"/>
        <w:jc w:val="center"/>
        <w:rPr>
          <w:rFonts w:hint="default" w:ascii="Times New Roman" w:hAnsi="Times New Roman" w:eastAsia="仿宋_GB2312" w:cs="Times New Roman"/>
          <w:b/>
          <w:color w:val="auto"/>
          <w:kern w:val="0"/>
          <w:sz w:val="32"/>
          <w:szCs w:val="32"/>
        </w:rPr>
      </w:pPr>
    </w:p>
    <w:p>
      <w:pPr>
        <w:widowControl/>
        <w:spacing w:line="360" w:lineRule="auto"/>
        <w:jc w:val="center"/>
        <w:rPr>
          <w:rFonts w:hint="default" w:ascii="Times New Roman" w:hAnsi="Times New Roman" w:eastAsia="仿宋_GB2312" w:cs="Times New Roman"/>
          <w:b/>
          <w:color w:val="auto"/>
          <w:kern w:val="0"/>
          <w:sz w:val="32"/>
          <w:szCs w:val="32"/>
        </w:rPr>
      </w:pPr>
    </w:p>
    <w:p>
      <w:pPr>
        <w:widowControl/>
        <w:spacing w:line="360" w:lineRule="auto"/>
        <w:jc w:val="center"/>
        <w:rPr>
          <w:rFonts w:hint="default" w:ascii="Times New Roman" w:hAnsi="Times New Roman" w:eastAsia="仿宋_GB2312" w:cs="Times New Roman"/>
          <w:b/>
          <w:color w:val="auto"/>
          <w:kern w:val="0"/>
          <w:sz w:val="32"/>
          <w:szCs w:val="32"/>
        </w:rPr>
      </w:pPr>
    </w:p>
    <w:p>
      <w:pPr>
        <w:widowControl/>
        <w:spacing w:line="360" w:lineRule="auto"/>
        <w:rPr>
          <w:rFonts w:hint="default" w:ascii="Times New Roman" w:hAnsi="Times New Roman" w:eastAsia="仿宋_GB2312" w:cs="Times New Roman"/>
          <w:b/>
          <w:color w:val="auto"/>
          <w:kern w:val="0"/>
          <w:sz w:val="32"/>
          <w:szCs w:val="32"/>
        </w:rPr>
      </w:pPr>
    </w:p>
    <w:p>
      <w:pPr>
        <w:widowControl/>
        <w:spacing w:line="360" w:lineRule="auto"/>
        <w:jc w:val="center"/>
        <w:rPr>
          <w:rFonts w:hint="default" w:ascii="Times New Roman" w:hAnsi="Times New Roman" w:eastAsia="仿宋_GB2312" w:cs="Times New Roman"/>
          <w:b/>
          <w:color w:val="auto"/>
          <w:kern w:val="0"/>
          <w:sz w:val="32"/>
          <w:szCs w:val="32"/>
        </w:rPr>
      </w:pPr>
    </w:p>
    <w:p>
      <w:pPr>
        <w:pStyle w:val="8"/>
        <w:tabs>
          <w:tab w:val="left" w:pos="1050"/>
        </w:tabs>
        <w:jc w:val="center"/>
        <w:rPr>
          <w:rFonts w:hint="default" w:ascii="Times New Roman" w:hAnsi="Times New Roman" w:cs="Times New Roman"/>
          <w:bCs w:val="0"/>
          <w:color w:val="auto"/>
          <w:spacing w:val="0"/>
          <w:sz w:val="44"/>
          <w:szCs w:val="44"/>
        </w:rPr>
      </w:pPr>
      <w:r>
        <w:rPr>
          <w:rFonts w:hint="default" w:ascii="Times New Roman" w:hAnsi="Times New Roman" w:cs="Times New Roman"/>
          <w:bCs w:val="0"/>
          <w:color w:val="auto"/>
          <w:spacing w:val="0"/>
          <w:sz w:val="44"/>
          <w:szCs w:val="44"/>
        </w:rPr>
        <w:t>目录</w:t>
      </w:r>
    </w:p>
    <w:p>
      <w:pPr>
        <w:pStyle w:val="8"/>
        <w:tabs>
          <w:tab w:val="left" w:pos="1050"/>
        </w:tabs>
        <w:rPr>
          <w:rFonts w:hint="default" w:ascii="Times New Roman" w:hAnsi="Times New Roman" w:cs="Times New Roman"/>
          <w:b w:val="0"/>
          <w:bCs w:val="0"/>
          <w:color w:val="auto"/>
          <w:spacing w:val="0"/>
          <w:sz w:val="32"/>
          <w:szCs w:val="32"/>
        </w:rPr>
      </w:pPr>
    </w:p>
    <w:p>
      <w:pPr>
        <w:pStyle w:val="8"/>
        <w:tabs>
          <w:tab w:val="left" w:pos="1050"/>
        </w:tabs>
        <w:rPr>
          <w:rFonts w:hint="default" w:ascii="Times New Roman" w:hAnsi="Times New Roman" w:cs="Times New Roman"/>
          <w:b w:val="0"/>
          <w:bCs w:val="0"/>
          <w:color w:val="auto"/>
          <w:spacing w:val="0"/>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"_Toc359598603" </w:instrText>
      </w:r>
      <w:r>
        <w:rPr>
          <w:rFonts w:hint="default" w:ascii="Times New Roman" w:hAnsi="Times New Roman" w:cs="Times New Roman"/>
          <w:color w:val="auto"/>
        </w:rPr>
        <w:fldChar w:fldCharType="separate"/>
      </w:r>
      <w:r>
        <w:rPr>
          <w:rFonts w:hint="default" w:ascii="Times New Roman" w:hAnsi="Times New Roman" w:cs="Times New Roman"/>
          <w:b w:val="0"/>
          <w:bCs w:val="0"/>
          <w:color w:val="auto"/>
          <w:spacing w:val="0"/>
          <w:sz w:val="32"/>
          <w:szCs w:val="32"/>
        </w:rPr>
        <w:t>第一节</w:t>
      </w:r>
      <w:r>
        <w:rPr>
          <w:rFonts w:hint="default" w:ascii="Times New Roman" w:hAnsi="Times New Roman" w:cs="Times New Roman"/>
          <w:b w:val="0"/>
          <w:bCs w:val="0"/>
          <w:color w:val="auto"/>
          <w:spacing w:val="0"/>
          <w:sz w:val="32"/>
          <w:szCs w:val="32"/>
        </w:rPr>
        <w:tab/>
      </w:r>
      <w:r>
        <w:rPr>
          <w:rFonts w:hint="default" w:ascii="Times New Roman" w:hAnsi="Times New Roman" w:cs="Times New Roman"/>
          <w:b w:val="0"/>
          <w:bCs w:val="0"/>
          <w:color w:val="auto"/>
          <w:spacing w:val="0"/>
          <w:sz w:val="32"/>
          <w:szCs w:val="32"/>
        </w:rPr>
        <w:t>公司基本情况简介</w:t>
      </w:r>
      <w:r>
        <w:rPr>
          <w:rFonts w:hint="default" w:ascii="Times New Roman" w:hAnsi="Times New Roman" w:cs="Times New Roman"/>
          <w:b w:val="0"/>
          <w:bCs w:val="0"/>
          <w:color w:val="auto"/>
          <w:spacing w:val="0"/>
          <w:sz w:val="32"/>
          <w:szCs w:val="32"/>
        </w:rPr>
        <w:fldChar w:fldCharType="end"/>
      </w:r>
    </w:p>
    <w:p>
      <w:pPr>
        <w:pStyle w:val="8"/>
        <w:tabs>
          <w:tab w:val="left" w:pos="1050"/>
        </w:tabs>
        <w:rPr>
          <w:rFonts w:hint="default" w:ascii="Times New Roman" w:hAnsi="Times New Roman" w:cs="Times New Roman"/>
          <w:b w:val="0"/>
          <w:bCs w:val="0"/>
          <w:color w:val="auto"/>
          <w:spacing w:val="0"/>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"_Toc359598604" </w:instrText>
      </w:r>
      <w:r>
        <w:rPr>
          <w:rFonts w:hint="default" w:ascii="Times New Roman" w:hAnsi="Times New Roman" w:cs="Times New Roman"/>
          <w:color w:val="auto"/>
        </w:rPr>
        <w:fldChar w:fldCharType="separate"/>
      </w:r>
      <w:r>
        <w:rPr>
          <w:rFonts w:hint="default" w:ascii="Times New Roman" w:hAnsi="Times New Roman" w:cs="Times New Roman"/>
          <w:b w:val="0"/>
          <w:bCs w:val="0"/>
          <w:color w:val="auto"/>
          <w:spacing w:val="0"/>
          <w:sz w:val="32"/>
          <w:szCs w:val="32"/>
        </w:rPr>
        <w:t>第二节</w:t>
      </w:r>
      <w:r>
        <w:rPr>
          <w:rFonts w:hint="default" w:ascii="Times New Roman" w:hAnsi="Times New Roman" w:cs="Times New Roman"/>
          <w:b w:val="0"/>
          <w:bCs w:val="0"/>
          <w:color w:val="auto"/>
          <w:spacing w:val="0"/>
          <w:sz w:val="32"/>
          <w:szCs w:val="32"/>
        </w:rPr>
        <w:tab/>
      </w:r>
      <w:r>
        <w:rPr>
          <w:rFonts w:hint="default" w:ascii="Times New Roman" w:hAnsi="Times New Roman" w:cs="Times New Roman"/>
          <w:b w:val="0"/>
          <w:color w:val="auto"/>
          <w:sz w:val="32"/>
          <w:szCs w:val="32"/>
        </w:rPr>
        <w:t>公司数据和业务数据摘要</w:t>
      </w:r>
      <w:r>
        <w:rPr>
          <w:rFonts w:hint="default" w:ascii="Times New Roman" w:hAnsi="Times New Roman" w:cs="Times New Roman"/>
          <w:b w:val="0"/>
          <w:bCs w:val="0"/>
          <w:color w:val="auto"/>
          <w:spacing w:val="0"/>
          <w:sz w:val="32"/>
          <w:szCs w:val="32"/>
        </w:rPr>
        <w:fldChar w:fldCharType="end"/>
      </w:r>
    </w:p>
    <w:p>
      <w:pPr>
        <w:pStyle w:val="8"/>
        <w:tabs>
          <w:tab w:val="left" w:pos="1050"/>
        </w:tabs>
        <w:rPr>
          <w:rFonts w:hint="default" w:ascii="Times New Roman" w:hAnsi="Times New Roman" w:cs="Times New Roman"/>
          <w:b w:val="0"/>
          <w:bCs w:val="0"/>
          <w:color w:val="auto"/>
          <w:spacing w:val="0"/>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"_Toc359598605" </w:instrText>
      </w:r>
      <w:r>
        <w:rPr>
          <w:rFonts w:hint="default" w:ascii="Times New Roman" w:hAnsi="Times New Roman" w:cs="Times New Roman"/>
          <w:color w:val="auto"/>
        </w:rPr>
        <w:fldChar w:fldCharType="separate"/>
      </w:r>
      <w:r>
        <w:rPr>
          <w:rFonts w:hint="default" w:ascii="Times New Roman" w:hAnsi="Times New Roman" w:cs="Times New Roman"/>
          <w:b w:val="0"/>
          <w:bCs w:val="0"/>
          <w:color w:val="auto"/>
          <w:spacing w:val="0"/>
          <w:sz w:val="32"/>
          <w:szCs w:val="32"/>
        </w:rPr>
        <w:t>第三节</w:t>
      </w:r>
      <w:r>
        <w:rPr>
          <w:rFonts w:hint="default" w:ascii="Times New Roman" w:hAnsi="Times New Roman" w:cs="Times New Roman"/>
          <w:b w:val="0"/>
          <w:bCs w:val="0"/>
          <w:color w:val="auto"/>
          <w:spacing w:val="0"/>
          <w:sz w:val="32"/>
          <w:szCs w:val="32"/>
        </w:rPr>
        <w:tab/>
      </w:r>
      <w:r>
        <w:rPr>
          <w:rFonts w:hint="default" w:ascii="Times New Roman" w:hAnsi="Times New Roman" w:cs="Times New Roman"/>
          <w:b w:val="0"/>
          <w:color w:val="auto"/>
          <w:sz w:val="32"/>
          <w:szCs w:val="32"/>
        </w:rPr>
        <w:t>股本变动和股东情况</w:t>
      </w:r>
      <w:r>
        <w:rPr>
          <w:rFonts w:hint="default" w:ascii="Times New Roman" w:hAnsi="Times New Roman" w:cs="Times New Roman"/>
          <w:b w:val="0"/>
          <w:bCs w:val="0"/>
          <w:color w:val="auto"/>
          <w:spacing w:val="0"/>
          <w:sz w:val="32"/>
          <w:szCs w:val="32"/>
        </w:rPr>
        <w:fldChar w:fldCharType="end"/>
      </w:r>
    </w:p>
    <w:p>
      <w:pPr>
        <w:pStyle w:val="8"/>
        <w:tabs>
          <w:tab w:val="left" w:pos="1050"/>
        </w:tabs>
        <w:rPr>
          <w:rFonts w:hint="default" w:ascii="Times New Roman" w:hAnsi="Times New Roman" w:cs="Times New Roman"/>
          <w:b w:val="0"/>
          <w:bCs w:val="0"/>
          <w:color w:val="auto"/>
          <w:spacing w:val="0"/>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"_Toc359598606" </w:instrText>
      </w:r>
      <w:r>
        <w:rPr>
          <w:rFonts w:hint="default" w:ascii="Times New Roman" w:hAnsi="Times New Roman" w:cs="Times New Roman"/>
          <w:color w:val="auto"/>
        </w:rPr>
        <w:fldChar w:fldCharType="separate"/>
      </w:r>
      <w:r>
        <w:rPr>
          <w:rFonts w:hint="default" w:ascii="Times New Roman" w:hAnsi="Times New Roman" w:cs="Times New Roman"/>
          <w:b w:val="0"/>
          <w:bCs w:val="0"/>
          <w:color w:val="auto"/>
          <w:spacing w:val="0"/>
          <w:sz w:val="32"/>
          <w:szCs w:val="32"/>
        </w:rPr>
        <w:t>第四节</w:t>
      </w:r>
      <w:r>
        <w:rPr>
          <w:rFonts w:hint="default" w:ascii="Times New Roman" w:hAnsi="Times New Roman" w:cs="Times New Roman"/>
          <w:b w:val="0"/>
          <w:bCs w:val="0"/>
          <w:color w:val="auto"/>
          <w:spacing w:val="0"/>
          <w:sz w:val="32"/>
          <w:szCs w:val="32"/>
        </w:rPr>
        <w:tab/>
      </w:r>
      <w:r>
        <w:rPr>
          <w:rFonts w:hint="default" w:ascii="Times New Roman" w:hAnsi="Times New Roman" w:cs="Times New Roman"/>
          <w:b w:val="0"/>
          <w:color w:val="auto"/>
          <w:sz w:val="32"/>
          <w:szCs w:val="32"/>
        </w:rPr>
        <w:t>董（监）事、高级管理人员和员工情况</w:t>
      </w:r>
      <w:r>
        <w:rPr>
          <w:rFonts w:hint="default" w:ascii="Times New Roman" w:hAnsi="Times New Roman" w:cs="Times New Roman"/>
          <w:b w:val="0"/>
          <w:bCs w:val="0"/>
          <w:color w:val="auto"/>
          <w:spacing w:val="0"/>
          <w:sz w:val="32"/>
          <w:szCs w:val="32"/>
        </w:rPr>
        <w:fldChar w:fldCharType="end"/>
      </w:r>
    </w:p>
    <w:p>
      <w:pPr>
        <w:pStyle w:val="8"/>
        <w:tabs>
          <w:tab w:val="left" w:pos="1050"/>
        </w:tabs>
        <w:rPr>
          <w:rFonts w:hint="default" w:ascii="Times New Roman" w:hAnsi="Times New Roman" w:cs="Times New Roman"/>
          <w:b w:val="0"/>
          <w:bCs w:val="0"/>
          <w:color w:val="auto"/>
          <w:spacing w:val="0"/>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"_Toc359598607" </w:instrText>
      </w:r>
      <w:r>
        <w:rPr>
          <w:rFonts w:hint="default" w:ascii="Times New Roman" w:hAnsi="Times New Roman" w:cs="Times New Roman"/>
          <w:color w:val="auto"/>
        </w:rPr>
        <w:fldChar w:fldCharType="separate"/>
      </w:r>
      <w:r>
        <w:rPr>
          <w:rFonts w:hint="default" w:ascii="Times New Roman" w:hAnsi="Times New Roman" w:cs="Times New Roman"/>
          <w:b w:val="0"/>
          <w:bCs w:val="0"/>
          <w:color w:val="auto"/>
          <w:spacing w:val="0"/>
          <w:sz w:val="32"/>
          <w:szCs w:val="32"/>
        </w:rPr>
        <w:t>第五节</w:t>
      </w:r>
      <w:r>
        <w:rPr>
          <w:rFonts w:hint="default" w:ascii="Times New Roman" w:hAnsi="Times New Roman" w:cs="Times New Roman"/>
          <w:b w:val="0"/>
          <w:bCs w:val="0"/>
          <w:color w:val="auto"/>
          <w:spacing w:val="0"/>
          <w:sz w:val="32"/>
          <w:szCs w:val="32"/>
        </w:rPr>
        <w:tab/>
      </w:r>
      <w:r>
        <w:rPr>
          <w:rFonts w:hint="default" w:ascii="Times New Roman" w:hAnsi="Times New Roman" w:cs="Times New Roman"/>
          <w:b w:val="0"/>
          <w:color w:val="auto"/>
          <w:sz w:val="32"/>
          <w:szCs w:val="32"/>
        </w:rPr>
        <w:t>部门设置情况</w:t>
      </w:r>
      <w:r>
        <w:rPr>
          <w:rFonts w:hint="default" w:ascii="Times New Roman" w:hAnsi="Times New Roman" w:cs="Times New Roman"/>
          <w:b w:val="0"/>
          <w:bCs w:val="0"/>
          <w:color w:val="auto"/>
          <w:spacing w:val="0"/>
          <w:sz w:val="32"/>
          <w:szCs w:val="32"/>
        </w:rPr>
        <w:fldChar w:fldCharType="end"/>
      </w:r>
    </w:p>
    <w:p>
      <w:pPr>
        <w:pStyle w:val="8"/>
        <w:tabs>
          <w:tab w:val="left" w:pos="1050"/>
        </w:tabs>
        <w:rPr>
          <w:rFonts w:hint="default" w:ascii="Times New Roman" w:hAnsi="Times New Roman" w:cs="Times New Roman"/>
          <w:b w:val="0"/>
          <w:bCs w:val="0"/>
          <w:color w:val="auto"/>
          <w:spacing w:val="0"/>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"_Toc359598608" </w:instrText>
      </w:r>
      <w:r>
        <w:rPr>
          <w:rFonts w:hint="default" w:ascii="Times New Roman" w:hAnsi="Times New Roman" w:cs="Times New Roman"/>
          <w:color w:val="auto"/>
        </w:rPr>
        <w:fldChar w:fldCharType="separate"/>
      </w:r>
      <w:r>
        <w:rPr>
          <w:rFonts w:hint="default" w:ascii="Times New Roman" w:hAnsi="Times New Roman" w:cs="Times New Roman"/>
          <w:b w:val="0"/>
          <w:bCs w:val="0"/>
          <w:color w:val="auto"/>
          <w:spacing w:val="0"/>
          <w:sz w:val="32"/>
          <w:szCs w:val="32"/>
        </w:rPr>
        <w:t>第六节</w:t>
      </w:r>
      <w:r>
        <w:rPr>
          <w:rFonts w:hint="default" w:ascii="Times New Roman" w:hAnsi="Times New Roman" w:cs="Times New Roman"/>
          <w:b w:val="0"/>
          <w:bCs w:val="0"/>
          <w:color w:val="auto"/>
          <w:spacing w:val="0"/>
          <w:sz w:val="32"/>
          <w:szCs w:val="32"/>
        </w:rPr>
        <w:tab/>
      </w:r>
      <w:r>
        <w:rPr>
          <w:rFonts w:hint="default" w:ascii="Times New Roman" w:hAnsi="Times New Roman" w:cs="Times New Roman"/>
          <w:b w:val="0"/>
          <w:color w:val="auto"/>
          <w:sz w:val="32"/>
          <w:szCs w:val="32"/>
        </w:rPr>
        <w:t>公司治理情况</w:t>
      </w:r>
      <w:r>
        <w:rPr>
          <w:rFonts w:hint="default" w:ascii="Times New Roman" w:hAnsi="Times New Roman" w:cs="Times New Roman"/>
          <w:b w:val="0"/>
          <w:bCs w:val="0"/>
          <w:color w:val="auto"/>
          <w:spacing w:val="0"/>
          <w:sz w:val="32"/>
          <w:szCs w:val="32"/>
        </w:rPr>
        <w:fldChar w:fldCharType="end"/>
      </w:r>
    </w:p>
    <w:p>
      <w:pPr>
        <w:pStyle w:val="8"/>
        <w:tabs>
          <w:tab w:val="left" w:pos="1050"/>
        </w:tabs>
        <w:rPr>
          <w:rFonts w:hint="default" w:ascii="Times New Roman" w:hAnsi="Times New Roman" w:cs="Times New Roman"/>
          <w:b w:val="0"/>
          <w:bCs w:val="0"/>
          <w:color w:val="auto"/>
          <w:spacing w:val="0"/>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"_Toc359598609" </w:instrText>
      </w:r>
      <w:r>
        <w:rPr>
          <w:rFonts w:hint="default" w:ascii="Times New Roman" w:hAnsi="Times New Roman" w:cs="Times New Roman"/>
          <w:color w:val="auto"/>
        </w:rPr>
        <w:fldChar w:fldCharType="separate"/>
      </w:r>
      <w:r>
        <w:rPr>
          <w:rFonts w:hint="default" w:ascii="Times New Roman" w:hAnsi="Times New Roman" w:cs="Times New Roman"/>
          <w:b w:val="0"/>
          <w:bCs w:val="0"/>
          <w:color w:val="auto"/>
          <w:spacing w:val="0"/>
          <w:sz w:val="32"/>
          <w:szCs w:val="32"/>
        </w:rPr>
        <w:t>第七节</w:t>
      </w:r>
      <w:r>
        <w:rPr>
          <w:rFonts w:hint="default" w:ascii="Times New Roman" w:hAnsi="Times New Roman" w:cs="Times New Roman"/>
          <w:b w:val="0"/>
          <w:bCs w:val="0"/>
          <w:color w:val="auto"/>
          <w:spacing w:val="0"/>
          <w:sz w:val="32"/>
          <w:szCs w:val="32"/>
        </w:rPr>
        <w:tab/>
      </w:r>
      <w:r>
        <w:rPr>
          <w:rFonts w:hint="default" w:ascii="Times New Roman" w:hAnsi="Times New Roman" w:cs="Times New Roman"/>
          <w:b w:val="0"/>
          <w:bCs w:val="0"/>
          <w:color w:val="auto"/>
          <w:spacing w:val="0"/>
          <w:sz w:val="32"/>
          <w:szCs w:val="32"/>
        </w:rPr>
        <w:t>公司主要业务情况</w:t>
      </w:r>
    </w:p>
    <w:p>
      <w:pPr>
        <w:pStyle w:val="8"/>
        <w:tabs>
          <w:tab w:val="left" w:pos="1050"/>
        </w:tabs>
        <w:rPr>
          <w:rFonts w:hint="default" w:ascii="Times New Roman" w:hAnsi="Times New Roman" w:cs="Times New Roman"/>
          <w:b w:val="0"/>
          <w:bCs w:val="0"/>
          <w:color w:val="auto"/>
          <w:spacing w:val="0"/>
          <w:sz w:val="32"/>
          <w:szCs w:val="32"/>
          <w:lang w:val="en-US" w:eastAsia="zh-CN"/>
        </w:rPr>
      </w:pPr>
      <w:r>
        <w:rPr>
          <w:rFonts w:hint="default" w:ascii="Times New Roman" w:hAnsi="Times New Roman" w:cs="Times New Roman"/>
          <w:b w:val="0"/>
          <w:bCs w:val="0"/>
          <w:color w:val="auto"/>
          <w:spacing w:val="0"/>
          <w:sz w:val="32"/>
          <w:szCs w:val="32"/>
        </w:rPr>
        <w:fldChar w:fldCharType="end"/>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"_Toc359598607" </w:instrText>
      </w:r>
      <w:r>
        <w:rPr>
          <w:rFonts w:hint="default" w:ascii="Times New Roman" w:hAnsi="Times New Roman" w:cs="Times New Roman"/>
          <w:color w:val="auto"/>
        </w:rPr>
        <w:fldChar w:fldCharType="separate"/>
      </w:r>
      <w:r>
        <w:rPr>
          <w:rFonts w:hint="default" w:ascii="Times New Roman" w:hAnsi="Times New Roman" w:cs="Times New Roman"/>
          <w:b w:val="0"/>
          <w:bCs w:val="0"/>
          <w:color w:val="auto"/>
          <w:spacing w:val="0"/>
          <w:sz w:val="32"/>
          <w:szCs w:val="32"/>
        </w:rPr>
        <w:t>第八节</w:t>
      </w:r>
      <w:r>
        <w:rPr>
          <w:rFonts w:hint="default" w:ascii="Times New Roman" w:hAnsi="Times New Roman" w:cs="Times New Roman"/>
          <w:b w:val="0"/>
          <w:bCs w:val="0"/>
          <w:color w:val="auto"/>
          <w:spacing w:val="0"/>
          <w:sz w:val="32"/>
          <w:szCs w:val="32"/>
        </w:rPr>
        <w:tab/>
      </w:r>
      <w:r>
        <w:rPr>
          <w:rFonts w:hint="default" w:ascii="Times New Roman" w:hAnsi="Times New Roman" w:cs="Times New Roman"/>
          <w:b w:val="0"/>
          <w:bCs w:val="0"/>
          <w:color w:val="auto"/>
          <w:spacing w:val="0"/>
          <w:sz w:val="32"/>
          <w:szCs w:val="32"/>
        </w:rPr>
        <w:t>全面风险管理情况</w:t>
      </w:r>
      <w:r>
        <w:rPr>
          <w:rFonts w:hint="default" w:ascii="Times New Roman" w:hAnsi="Times New Roman" w:cs="Times New Roman"/>
          <w:b w:val="0"/>
          <w:bCs w:val="0"/>
          <w:color w:val="auto"/>
          <w:spacing w:val="0"/>
          <w:sz w:val="32"/>
          <w:szCs w:val="32"/>
        </w:rPr>
        <w:fldChar w:fldCharType="end"/>
      </w:r>
    </w:p>
    <w:p>
      <w:pPr>
        <w:pStyle w:val="8"/>
        <w:tabs>
          <w:tab w:val="left" w:pos="1050"/>
        </w:tabs>
        <w:rPr>
          <w:rFonts w:hint="default"/>
          <w:b/>
          <w:bCs/>
          <w:lang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"_Toc359598608" </w:instrText>
      </w:r>
      <w:r>
        <w:rPr>
          <w:rFonts w:hint="default" w:ascii="Times New Roman" w:hAnsi="Times New Roman" w:cs="Times New Roman"/>
          <w:color w:val="auto"/>
        </w:rPr>
        <w:fldChar w:fldCharType="separate"/>
      </w:r>
      <w:r>
        <w:rPr>
          <w:rFonts w:hint="default" w:ascii="Times New Roman" w:hAnsi="Times New Roman" w:cs="Times New Roman"/>
          <w:b w:val="0"/>
          <w:bCs w:val="0"/>
          <w:color w:val="auto"/>
          <w:spacing w:val="0"/>
          <w:sz w:val="32"/>
          <w:szCs w:val="32"/>
        </w:rPr>
        <w:t>第九节</w:t>
      </w:r>
      <w:r>
        <w:rPr>
          <w:rFonts w:hint="default" w:ascii="Times New Roman" w:hAnsi="Times New Roman" w:cs="Times New Roman"/>
          <w:b w:val="0"/>
          <w:bCs w:val="0"/>
          <w:color w:val="auto"/>
          <w:spacing w:val="0"/>
          <w:sz w:val="32"/>
          <w:szCs w:val="32"/>
        </w:rPr>
        <w:tab/>
      </w:r>
      <w:r>
        <w:rPr>
          <w:rFonts w:hint="eastAsia" w:ascii="Times New Roman" w:hAnsi="Times New Roman" w:cs="Times New Roman"/>
          <w:b w:val="0"/>
          <w:bCs w:val="0"/>
          <w:color w:val="auto"/>
          <w:spacing w:val="0"/>
          <w:sz w:val="32"/>
          <w:szCs w:val="32"/>
          <w:lang w:eastAsia="zh-CN"/>
        </w:rPr>
        <w:t>消费者权益保护情况</w:t>
      </w:r>
      <w:r>
        <w:rPr>
          <w:rFonts w:hint="default" w:ascii="Times New Roman" w:hAnsi="Times New Roman" w:cs="Times New Roman"/>
          <w:b w:val="0"/>
          <w:bCs w:val="0"/>
          <w:color w:val="auto"/>
          <w:spacing w:val="0"/>
          <w:sz w:val="32"/>
          <w:szCs w:val="32"/>
        </w:rPr>
        <w:fldChar w:fldCharType="end"/>
      </w:r>
    </w:p>
    <w:p>
      <w:pPr>
        <w:pStyle w:val="8"/>
        <w:tabs>
          <w:tab w:val="left" w:pos="1050"/>
        </w:tabs>
        <w:rPr>
          <w:rFonts w:hint="default" w:ascii="Times New Roman" w:hAnsi="Times New Roman" w:cs="Times New Roman"/>
          <w:b w:val="0"/>
          <w:bCs w:val="0"/>
          <w:color w:val="auto"/>
          <w:spacing w:val="0"/>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"_Toc359598608" </w:instrText>
      </w:r>
      <w:r>
        <w:rPr>
          <w:rFonts w:hint="default" w:ascii="Times New Roman" w:hAnsi="Times New Roman" w:cs="Times New Roman"/>
          <w:color w:val="auto"/>
        </w:rPr>
        <w:fldChar w:fldCharType="separate"/>
      </w:r>
      <w:r>
        <w:rPr>
          <w:rFonts w:hint="default" w:ascii="Times New Roman" w:hAnsi="Times New Roman" w:cs="Times New Roman"/>
          <w:b w:val="0"/>
          <w:bCs w:val="0"/>
          <w:color w:val="auto"/>
          <w:spacing w:val="0"/>
          <w:sz w:val="32"/>
          <w:szCs w:val="32"/>
        </w:rPr>
        <w:t>第</w:t>
      </w:r>
      <w:r>
        <w:rPr>
          <w:rFonts w:hint="eastAsia" w:ascii="Times New Roman" w:hAnsi="Times New Roman" w:cs="Times New Roman"/>
          <w:b w:val="0"/>
          <w:bCs w:val="0"/>
          <w:color w:val="auto"/>
          <w:spacing w:val="0"/>
          <w:sz w:val="32"/>
          <w:szCs w:val="32"/>
          <w:lang w:eastAsia="zh-CN"/>
        </w:rPr>
        <w:t>十</w:t>
      </w:r>
      <w:r>
        <w:rPr>
          <w:rFonts w:hint="default" w:ascii="Times New Roman" w:hAnsi="Times New Roman" w:cs="Times New Roman"/>
          <w:b w:val="0"/>
          <w:bCs w:val="0"/>
          <w:color w:val="auto"/>
          <w:spacing w:val="0"/>
          <w:sz w:val="32"/>
          <w:szCs w:val="32"/>
        </w:rPr>
        <w:t>节</w:t>
      </w:r>
      <w:r>
        <w:rPr>
          <w:rFonts w:hint="default" w:ascii="Times New Roman" w:hAnsi="Times New Roman" w:cs="Times New Roman"/>
          <w:b w:val="0"/>
          <w:bCs w:val="0"/>
          <w:color w:val="auto"/>
          <w:spacing w:val="0"/>
          <w:sz w:val="32"/>
          <w:szCs w:val="32"/>
        </w:rPr>
        <w:tab/>
      </w:r>
      <w:r>
        <w:rPr>
          <w:rFonts w:hint="default" w:ascii="Times New Roman" w:hAnsi="Times New Roman" w:cs="Times New Roman"/>
          <w:b w:val="0"/>
          <w:bCs w:val="0"/>
          <w:color w:val="auto"/>
          <w:spacing w:val="0"/>
          <w:sz w:val="32"/>
          <w:szCs w:val="32"/>
        </w:rPr>
        <w:t>重要事项</w:t>
      </w:r>
      <w:r>
        <w:rPr>
          <w:rFonts w:hint="default" w:ascii="Times New Roman" w:hAnsi="Times New Roman" w:cs="Times New Roman"/>
          <w:b w:val="0"/>
          <w:bCs w:val="0"/>
          <w:color w:val="auto"/>
          <w:spacing w:val="0"/>
          <w:sz w:val="32"/>
          <w:szCs w:val="32"/>
        </w:rPr>
        <w:fldChar w:fldCharType="end"/>
      </w:r>
    </w:p>
    <w:p>
      <w:pPr>
        <w:pStyle w:val="8"/>
        <w:tabs>
          <w:tab w:val="left" w:pos="1050"/>
        </w:tabs>
        <w:rPr>
          <w:rFonts w:hint="default" w:ascii="Times New Roman" w:hAnsi="Times New Roman" w:cs="Times New Roman"/>
          <w:b w:val="0"/>
          <w:bCs w:val="0"/>
          <w:color w:val="auto"/>
          <w:spacing w:val="0"/>
          <w:sz w:val="32"/>
          <w:szCs w:val="32"/>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"_Toc359598609" </w:instrText>
      </w:r>
      <w:r>
        <w:rPr>
          <w:rFonts w:hint="default" w:ascii="Times New Roman" w:hAnsi="Times New Roman" w:cs="Times New Roman"/>
          <w:color w:val="auto"/>
        </w:rPr>
        <w:fldChar w:fldCharType="separate"/>
      </w:r>
      <w:r>
        <w:rPr>
          <w:rFonts w:hint="default" w:ascii="Times New Roman" w:hAnsi="Times New Roman" w:cs="Times New Roman"/>
          <w:b w:val="0"/>
          <w:bCs w:val="0"/>
          <w:color w:val="auto"/>
          <w:spacing w:val="0"/>
          <w:sz w:val="32"/>
          <w:szCs w:val="32"/>
        </w:rPr>
        <w:t>第十</w:t>
      </w:r>
      <w:r>
        <w:rPr>
          <w:rFonts w:hint="eastAsia" w:ascii="Times New Roman" w:hAnsi="Times New Roman" w:cs="Times New Roman"/>
          <w:b w:val="0"/>
          <w:bCs w:val="0"/>
          <w:color w:val="auto"/>
          <w:spacing w:val="0"/>
          <w:sz w:val="32"/>
          <w:szCs w:val="32"/>
          <w:lang w:eastAsia="zh-CN"/>
        </w:rPr>
        <w:t>一</w:t>
      </w:r>
      <w:r>
        <w:rPr>
          <w:rFonts w:hint="default" w:ascii="Times New Roman" w:hAnsi="Times New Roman" w:cs="Times New Roman"/>
          <w:b w:val="0"/>
          <w:bCs w:val="0"/>
          <w:color w:val="auto"/>
          <w:spacing w:val="0"/>
          <w:sz w:val="32"/>
          <w:szCs w:val="32"/>
        </w:rPr>
        <w:t>节</w:t>
      </w:r>
      <w:r>
        <w:rPr>
          <w:rFonts w:hint="default" w:ascii="Times New Roman" w:hAnsi="Times New Roman" w:cs="Times New Roman"/>
          <w:b w:val="0"/>
          <w:color w:val="auto"/>
          <w:sz w:val="32"/>
          <w:szCs w:val="32"/>
        </w:rPr>
        <w:t>财务报告</w:t>
      </w:r>
      <w:r>
        <w:rPr>
          <w:rFonts w:hint="default" w:ascii="Times New Roman" w:hAnsi="Times New Roman" w:cs="Times New Roman"/>
          <w:b w:val="0"/>
          <w:bCs w:val="0"/>
          <w:color w:val="auto"/>
          <w:spacing w:val="0"/>
          <w:sz w:val="32"/>
          <w:szCs w:val="32"/>
        </w:rPr>
        <w:fldChar w:fldCharType="end"/>
      </w:r>
    </w:p>
    <w:p>
      <w:pPr>
        <w:rPr>
          <w:rFonts w:hint="default" w:ascii="Times New Roman" w:hAnsi="Times New Roman" w:cs="Times New Roman"/>
          <w:color w:val="auto"/>
        </w:rPr>
      </w:pPr>
    </w:p>
    <w:p>
      <w:pPr>
        <w:rPr>
          <w:rFonts w:hint="default" w:ascii="Times New Roman" w:hAnsi="Times New Roman" w:cs="Times New Roman"/>
          <w:color w:val="auto"/>
        </w:rPr>
      </w:pPr>
    </w:p>
    <w:p>
      <w:pPr>
        <w:widowControl/>
        <w:spacing w:line="360" w:lineRule="auto"/>
        <w:rPr>
          <w:rFonts w:hint="default" w:ascii="Times New Roman" w:hAnsi="Times New Roman" w:eastAsia="仿宋_GB2312" w:cs="Times New Roman"/>
          <w:b/>
          <w:color w:val="auto"/>
          <w:kern w:val="0"/>
          <w:sz w:val="32"/>
          <w:szCs w:val="32"/>
        </w:rPr>
      </w:pPr>
    </w:p>
    <w:p>
      <w:pPr>
        <w:widowControl/>
        <w:spacing w:line="360" w:lineRule="auto"/>
        <w:jc w:val="center"/>
        <w:rPr>
          <w:rFonts w:hint="default" w:ascii="Times New Roman" w:hAnsi="Times New Roman" w:eastAsia="仿宋_GB2312" w:cs="Times New Roman"/>
          <w:b/>
          <w:color w:val="auto"/>
          <w:kern w:val="0"/>
          <w:sz w:val="32"/>
          <w:szCs w:val="32"/>
        </w:rPr>
      </w:pPr>
    </w:p>
    <w:p>
      <w:pPr>
        <w:widowControl/>
        <w:spacing w:line="360" w:lineRule="auto"/>
        <w:jc w:val="both"/>
        <w:rPr>
          <w:rFonts w:hint="default" w:ascii="Times New Roman" w:hAnsi="Times New Roman" w:eastAsia="仿宋_GB2312" w:cs="Times New Roman"/>
          <w:b/>
          <w:color w:val="auto"/>
          <w:kern w:val="0"/>
          <w:sz w:val="32"/>
          <w:szCs w:val="32"/>
        </w:rPr>
      </w:pPr>
    </w:p>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小标宋_GBK" w:cs="Times New Roman"/>
          <w:b/>
          <w:bCs/>
          <w:color w:val="auto"/>
          <w:kern w:val="0"/>
          <w:sz w:val="32"/>
          <w:szCs w:val="32"/>
        </w:rPr>
      </w:pPr>
      <w:r>
        <w:rPr>
          <w:rFonts w:hint="default" w:ascii="Times New Roman" w:hAnsi="Times New Roman" w:eastAsia="方正小标宋_GBK" w:cs="Times New Roman"/>
          <w:bCs/>
          <w:color w:val="auto"/>
          <w:kern w:val="0"/>
          <w:sz w:val="32"/>
          <w:szCs w:val="32"/>
        </w:rPr>
        <w:t>第一节  公司基本情况简介</w:t>
      </w:r>
    </w:p>
    <w:p>
      <w:pPr>
        <w:keepNext w:val="0"/>
        <w:keepLines w:val="0"/>
        <w:pageBreakBefore w:val="0"/>
        <w:widowControl/>
        <w:kinsoku/>
        <w:wordWrap/>
        <w:overflowPunct/>
        <w:topLinePunct w:val="0"/>
        <w:autoSpaceDE/>
        <w:autoSpaceDN/>
        <w:bidi w:val="0"/>
        <w:spacing w:line="580" w:lineRule="exac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b/>
          <w:bCs/>
          <w:color w:val="auto"/>
          <w:kern w:val="0"/>
          <w:sz w:val="32"/>
          <w:szCs w:val="32"/>
        </w:rPr>
        <w:t>【中文名称】</w:t>
      </w:r>
      <w:r>
        <w:rPr>
          <w:rFonts w:hint="default" w:ascii="Times New Roman" w:hAnsi="Times New Roman" w:eastAsia="方正仿宋_GBK" w:cs="Times New Roman"/>
          <w:color w:val="auto"/>
          <w:kern w:val="0"/>
          <w:sz w:val="32"/>
          <w:szCs w:val="32"/>
          <w:lang w:eastAsia="zh-CN"/>
        </w:rPr>
        <w:t>福建石狮</w:t>
      </w:r>
      <w:r>
        <w:rPr>
          <w:rFonts w:hint="default" w:ascii="Times New Roman" w:hAnsi="Times New Roman" w:eastAsia="方正仿宋_GBK" w:cs="Times New Roman"/>
          <w:color w:val="auto"/>
          <w:kern w:val="0"/>
          <w:sz w:val="32"/>
          <w:szCs w:val="32"/>
        </w:rPr>
        <w:t>渝农商村镇银行有限责任公司</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（简称：</w:t>
      </w:r>
      <w:r>
        <w:rPr>
          <w:rFonts w:hint="default" w:ascii="Times New Roman" w:hAnsi="Times New Roman" w:eastAsia="方正仿宋_GBK" w:cs="Times New Roman"/>
          <w:color w:val="auto"/>
          <w:kern w:val="0"/>
          <w:sz w:val="32"/>
          <w:szCs w:val="32"/>
          <w:lang w:eastAsia="zh-CN"/>
        </w:rPr>
        <w:t>石狮</w:t>
      </w:r>
      <w:r>
        <w:rPr>
          <w:rFonts w:hint="default" w:ascii="Times New Roman" w:hAnsi="Times New Roman" w:eastAsia="方正仿宋_GBK" w:cs="Times New Roman"/>
          <w:color w:val="auto"/>
          <w:kern w:val="0"/>
          <w:sz w:val="32"/>
          <w:szCs w:val="32"/>
        </w:rPr>
        <w:t>渝农商村镇银行）</w:t>
      </w:r>
    </w:p>
    <w:p>
      <w:pPr>
        <w:keepNext w:val="0"/>
        <w:keepLines w:val="0"/>
        <w:pageBreakBefore w:val="0"/>
        <w:widowControl/>
        <w:kinsoku/>
        <w:wordWrap/>
        <w:overflowPunct/>
        <w:topLinePunct w:val="0"/>
        <w:autoSpaceDE/>
        <w:autoSpaceDN/>
        <w:bidi w:val="0"/>
        <w:spacing w:line="580" w:lineRule="exact"/>
        <w:jc w:val="left"/>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b/>
          <w:bCs/>
          <w:color w:val="auto"/>
          <w:kern w:val="0"/>
          <w:sz w:val="32"/>
          <w:szCs w:val="32"/>
        </w:rPr>
        <w:t>【英文名称】</w:t>
      </w:r>
      <w:r>
        <w:rPr>
          <w:rFonts w:hint="default" w:ascii="Times New Roman" w:hAnsi="Times New Roman" w:eastAsia="方正仿宋_GBK" w:cs="Times New Roman"/>
          <w:color w:val="auto"/>
          <w:sz w:val="32"/>
          <w:szCs w:val="32"/>
          <w:highlight w:val="none"/>
          <w:u w:val="none"/>
        </w:rPr>
        <w:t>FUJIAN SHISHI CQRC County Bank Co.，Ltd.</w:t>
      </w:r>
    </w:p>
    <w:p>
      <w:pPr>
        <w:keepNext w:val="0"/>
        <w:keepLines w:val="0"/>
        <w:pageBreakBefore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（简称：</w:t>
      </w:r>
      <w:r>
        <w:rPr>
          <w:rFonts w:hint="default" w:ascii="Times New Roman" w:hAnsi="Times New Roman" w:eastAsia="方正仿宋_GBK" w:cs="Times New Roman"/>
          <w:color w:val="auto"/>
          <w:sz w:val="32"/>
          <w:szCs w:val="32"/>
          <w:highlight w:val="none"/>
          <w:u w:val="none"/>
        </w:rPr>
        <w:t>SHISHI CQRC County Bank</w:t>
      </w:r>
      <w:r>
        <w:rPr>
          <w:rFonts w:hint="default" w:ascii="Times New Roman" w:hAnsi="Times New Roman" w:eastAsia="方正仿宋_GBK" w:cs="Times New Roman"/>
          <w:color w:val="auto"/>
          <w:kern w:val="0"/>
          <w:sz w:val="32"/>
          <w:szCs w:val="32"/>
        </w:rPr>
        <w:t>）</w:t>
      </w:r>
    </w:p>
    <w:p>
      <w:pPr>
        <w:keepNext w:val="0"/>
        <w:keepLines w:val="0"/>
        <w:pageBreakBefore w:val="0"/>
        <w:widowControl/>
        <w:kinsoku/>
        <w:wordWrap/>
        <w:overflowPunct/>
        <w:topLinePunct w:val="0"/>
        <w:autoSpaceDE/>
        <w:autoSpaceDN/>
        <w:bidi w:val="0"/>
        <w:spacing w:line="580" w:lineRule="exact"/>
        <w:jc w:val="left"/>
        <w:rPr>
          <w:rFonts w:hint="default" w:ascii="Times New Roman" w:hAnsi="Times New Roman" w:eastAsia="方正仿宋_GBK" w:cs="Times New Roman"/>
          <w:color w:val="auto"/>
          <w:kern w:val="0"/>
          <w:sz w:val="32"/>
          <w:szCs w:val="32"/>
          <w:lang w:eastAsia="zh-CN"/>
        </w:rPr>
      </w:pPr>
      <w:r>
        <w:rPr>
          <w:rFonts w:hint="default" w:ascii="Times New Roman" w:hAnsi="Times New Roman" w:eastAsia="方正仿宋_GBK" w:cs="Times New Roman"/>
          <w:b/>
          <w:bCs/>
          <w:color w:val="auto"/>
          <w:kern w:val="0"/>
          <w:sz w:val="32"/>
          <w:szCs w:val="32"/>
        </w:rPr>
        <w:t>【法定代表人】</w:t>
      </w:r>
      <w:r>
        <w:rPr>
          <w:rFonts w:hint="default" w:ascii="Times New Roman" w:hAnsi="Times New Roman" w:eastAsia="方正仿宋_GBK" w:cs="Times New Roman"/>
          <w:color w:val="auto"/>
          <w:kern w:val="0"/>
          <w:sz w:val="32"/>
          <w:szCs w:val="32"/>
          <w:lang w:eastAsia="zh-CN"/>
        </w:rPr>
        <w:t>王瑜</w:t>
      </w:r>
    </w:p>
    <w:p>
      <w:pPr>
        <w:keepNext w:val="0"/>
        <w:keepLines w:val="0"/>
        <w:pageBreakBefore w:val="0"/>
        <w:widowControl/>
        <w:kinsoku/>
        <w:wordWrap/>
        <w:overflowPunct/>
        <w:topLinePunct w:val="0"/>
        <w:autoSpaceDE/>
        <w:autoSpaceDN/>
        <w:bidi w:val="0"/>
        <w:spacing w:line="580" w:lineRule="exact"/>
        <w:jc w:val="left"/>
        <w:rPr>
          <w:rFonts w:hint="default" w:ascii="Times New Roman" w:hAnsi="Times New Roman" w:eastAsia="方正仿宋_GBK" w:cs="Times New Roman"/>
          <w:b/>
          <w:bCs/>
          <w:color w:val="auto"/>
          <w:kern w:val="0"/>
          <w:sz w:val="32"/>
          <w:szCs w:val="32"/>
        </w:rPr>
      </w:pPr>
      <w:r>
        <w:rPr>
          <w:rFonts w:hint="default" w:ascii="Times New Roman" w:hAnsi="Times New Roman" w:eastAsia="方正仿宋_GBK" w:cs="Times New Roman"/>
          <w:b/>
          <w:bCs/>
          <w:color w:val="auto"/>
          <w:kern w:val="0"/>
          <w:sz w:val="32"/>
          <w:szCs w:val="32"/>
        </w:rPr>
        <w:t>【其他有关资料】</w:t>
      </w:r>
    </w:p>
    <w:p>
      <w:pPr>
        <w:pStyle w:val="14"/>
        <w:keepNext w:val="0"/>
        <w:keepLines w:val="0"/>
        <w:pageBreakBefore w:val="0"/>
        <w:numPr>
          <w:ilvl w:val="0"/>
          <w:numId w:val="0"/>
        </w:numPr>
        <w:kinsoku/>
        <w:wordWrap/>
        <w:overflowPunct/>
        <w:topLinePunct w:val="0"/>
        <w:autoSpaceDE/>
        <w:autoSpaceDN/>
        <w:bidi w:val="0"/>
        <w:spacing w:line="580" w:lineRule="exact"/>
        <w:ind w:leftChars="200" w:firstLine="320" w:firstLineChars="1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联系地址：</w:t>
      </w:r>
      <w:r>
        <w:rPr>
          <w:rFonts w:hint="default" w:ascii="Times New Roman" w:hAnsi="Times New Roman" w:eastAsia="方正仿宋_GBK" w:cs="Times New Roman"/>
          <w:color w:val="auto"/>
          <w:sz w:val="32"/>
          <w:szCs w:val="32"/>
          <w:highlight w:val="none"/>
          <w:u w:val="none"/>
        </w:rPr>
        <w:t>石狮市八七路鸿兴国际2454号、2456号、2458号</w:t>
      </w:r>
    </w:p>
    <w:p>
      <w:pPr>
        <w:keepNext w:val="0"/>
        <w:keepLines w:val="0"/>
        <w:pageBreakBefore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rPr>
        <w:t>邮政编码：</w:t>
      </w:r>
      <w:r>
        <w:rPr>
          <w:rFonts w:hint="default" w:ascii="Times New Roman" w:hAnsi="Times New Roman" w:eastAsia="方正仿宋_GBK" w:cs="Times New Roman"/>
          <w:color w:val="auto"/>
          <w:sz w:val="32"/>
          <w:szCs w:val="32"/>
          <w:lang w:val="en-US" w:eastAsia="zh-CN"/>
        </w:rPr>
        <w:t>362700</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电话：</w:t>
      </w:r>
      <w:r>
        <w:rPr>
          <w:rFonts w:hint="default" w:ascii="Times New Roman" w:hAnsi="Times New Roman" w:eastAsia="方正仿宋_GBK" w:cs="Times New Roman"/>
          <w:color w:val="auto"/>
          <w:kern w:val="0"/>
          <w:sz w:val="32"/>
          <w:szCs w:val="32"/>
          <w:lang w:val="en-US" w:eastAsia="zh-CN"/>
        </w:rPr>
        <w:t>0595-82269866</w:t>
      </w:r>
      <w:r>
        <w:rPr>
          <w:rFonts w:hint="default" w:ascii="Times New Roman" w:hAnsi="Times New Roman" w:eastAsia="方正仿宋_GBK" w:cs="Times New Roman"/>
          <w:color w:val="auto"/>
          <w:kern w:val="0"/>
          <w:sz w:val="32"/>
          <w:szCs w:val="32"/>
        </w:rPr>
        <w:t>　　</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传真：</w:t>
      </w:r>
      <w:r>
        <w:rPr>
          <w:rFonts w:hint="default" w:ascii="Times New Roman" w:hAnsi="Times New Roman" w:eastAsia="方正仿宋_GBK" w:cs="Times New Roman"/>
          <w:color w:val="auto"/>
          <w:kern w:val="0"/>
          <w:sz w:val="32"/>
          <w:szCs w:val="32"/>
          <w:lang w:val="en-US" w:eastAsia="zh-CN"/>
        </w:rPr>
        <w:t>0595-82268878</w:t>
      </w:r>
      <w:r>
        <w:rPr>
          <w:rFonts w:hint="default" w:ascii="Times New Roman" w:hAnsi="Times New Roman" w:eastAsia="方正仿宋_GBK" w:cs="Times New Roman"/>
          <w:color w:val="auto"/>
          <w:kern w:val="0"/>
          <w:sz w:val="32"/>
          <w:szCs w:val="32"/>
        </w:rPr>
        <w:t>　</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首次注册登记日期：</w:t>
      </w:r>
      <w:r>
        <w:rPr>
          <w:rFonts w:hint="default" w:ascii="Times New Roman" w:hAnsi="Times New Roman" w:eastAsia="方正仿宋_GBK" w:cs="Times New Roman"/>
          <w:color w:val="auto"/>
          <w:kern w:val="0"/>
          <w:sz w:val="32"/>
          <w:szCs w:val="32"/>
          <w:highlight w:val="none"/>
          <w:lang w:val="en-US" w:eastAsia="zh-CN"/>
        </w:rPr>
        <w:t>2015</w:t>
      </w:r>
      <w:r>
        <w:rPr>
          <w:rFonts w:hint="default" w:ascii="Times New Roman" w:hAnsi="Times New Roman" w:eastAsia="方正仿宋_GBK" w:cs="Times New Roman"/>
          <w:color w:val="auto"/>
          <w:kern w:val="0"/>
          <w:sz w:val="32"/>
          <w:szCs w:val="32"/>
          <w:highlight w:val="none"/>
        </w:rPr>
        <w:t>年</w:t>
      </w:r>
      <w:r>
        <w:rPr>
          <w:rFonts w:hint="default" w:ascii="Times New Roman" w:hAnsi="Times New Roman" w:eastAsia="方正仿宋_GBK" w:cs="Times New Roman"/>
          <w:color w:val="auto"/>
          <w:kern w:val="0"/>
          <w:sz w:val="32"/>
          <w:szCs w:val="32"/>
          <w:highlight w:val="none"/>
          <w:lang w:val="en-US" w:eastAsia="zh-CN"/>
        </w:rPr>
        <w:t>9</w:t>
      </w:r>
      <w:r>
        <w:rPr>
          <w:rFonts w:hint="default" w:ascii="Times New Roman" w:hAnsi="Times New Roman" w:eastAsia="方正仿宋_GBK" w:cs="Times New Roman"/>
          <w:color w:val="auto"/>
          <w:kern w:val="0"/>
          <w:sz w:val="32"/>
          <w:szCs w:val="32"/>
          <w:highlight w:val="none"/>
        </w:rPr>
        <w:t>月</w:t>
      </w:r>
      <w:r>
        <w:rPr>
          <w:rFonts w:hint="default" w:ascii="Times New Roman" w:hAnsi="Times New Roman" w:eastAsia="方正仿宋_GBK" w:cs="Times New Roman"/>
          <w:color w:val="auto"/>
          <w:kern w:val="0"/>
          <w:sz w:val="32"/>
          <w:szCs w:val="32"/>
          <w:highlight w:val="none"/>
          <w:lang w:val="en-US" w:eastAsia="zh-CN"/>
        </w:rPr>
        <w:t>2</w:t>
      </w:r>
      <w:r>
        <w:rPr>
          <w:rFonts w:hint="default" w:ascii="Times New Roman" w:hAnsi="Times New Roman" w:eastAsia="方正仿宋_GBK" w:cs="Times New Roman"/>
          <w:color w:val="auto"/>
          <w:kern w:val="0"/>
          <w:sz w:val="32"/>
          <w:szCs w:val="32"/>
          <w:highlight w:val="none"/>
        </w:rPr>
        <w:t>日</w:t>
      </w:r>
    </w:p>
    <w:p>
      <w:pPr>
        <w:pStyle w:val="14"/>
        <w:keepNext w:val="0"/>
        <w:keepLines w:val="0"/>
        <w:pageBreakBefore w:val="0"/>
        <w:numPr>
          <w:ilvl w:val="0"/>
          <w:numId w:val="0"/>
        </w:numPr>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首次注册登记地点：</w:t>
      </w:r>
      <w:r>
        <w:rPr>
          <w:rFonts w:hint="default" w:ascii="Times New Roman" w:hAnsi="Times New Roman" w:eastAsia="方正仿宋_GBK" w:cs="Times New Roman"/>
          <w:color w:val="auto"/>
          <w:sz w:val="32"/>
          <w:szCs w:val="32"/>
          <w:highlight w:val="none"/>
          <w:u w:val="none"/>
        </w:rPr>
        <w:t>石狮市八七路鸿兴国际2454号、2456号、2458号</w:t>
      </w:r>
    </w:p>
    <w:p>
      <w:pPr>
        <w:keepNext w:val="0"/>
        <w:keepLines w:val="0"/>
        <w:pageBreakBefore w:val="0"/>
        <w:widowControl/>
        <w:kinsoku/>
        <w:wordWrap/>
        <w:overflowPunct/>
        <w:topLinePunct w:val="0"/>
        <w:autoSpaceDE/>
        <w:autoSpaceDN/>
        <w:bidi w:val="0"/>
        <w:spacing w:line="580" w:lineRule="exact"/>
        <w:ind w:firstLine="640" w:firstLineChars="200"/>
        <w:jc w:val="both"/>
        <w:rPr>
          <w:rFonts w:hint="default" w:ascii="Times New Roman" w:hAnsi="Times New Roman" w:eastAsia="方正仿宋_GBK" w:cs="Times New Roman"/>
          <w:color w:val="auto"/>
          <w:kern w:val="0"/>
          <w:sz w:val="32"/>
          <w:szCs w:val="32"/>
          <w:highlight w:val="none"/>
          <w:lang w:val="en-US"/>
        </w:rPr>
      </w:pPr>
      <w:r>
        <w:rPr>
          <w:rFonts w:hint="default" w:ascii="Times New Roman" w:hAnsi="Times New Roman" w:eastAsia="方正仿宋_GBK" w:cs="Times New Roman"/>
          <w:color w:val="auto"/>
          <w:kern w:val="0"/>
          <w:sz w:val="32"/>
          <w:szCs w:val="32"/>
          <w:highlight w:val="none"/>
        </w:rPr>
        <w:t>统一社会信用代码：</w:t>
      </w:r>
      <w:r>
        <w:rPr>
          <w:rFonts w:hint="default" w:ascii="Times New Roman" w:hAnsi="Times New Roman" w:eastAsia="方正仿宋_GBK" w:cs="Times New Roman"/>
          <w:color w:val="auto"/>
          <w:kern w:val="0"/>
          <w:sz w:val="32"/>
          <w:szCs w:val="32"/>
          <w:highlight w:val="none"/>
          <w:lang w:val="en-US" w:eastAsia="zh-CN"/>
        </w:rPr>
        <w:t>91350581MA32TUAK17</w:t>
      </w:r>
    </w:p>
    <w:p>
      <w:pPr>
        <w:keepNext w:val="0"/>
        <w:keepLines w:val="0"/>
        <w:pageBreakBefore w:val="0"/>
        <w:widowControl/>
        <w:kinsoku/>
        <w:wordWrap/>
        <w:overflowPunct/>
        <w:topLinePunct w:val="0"/>
        <w:autoSpaceDE/>
        <w:autoSpaceDN/>
        <w:bidi w:val="0"/>
        <w:spacing w:line="580" w:lineRule="exact"/>
        <w:ind w:firstLine="640" w:firstLineChars="200"/>
        <w:jc w:val="both"/>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聘请的会计师事务所名称：</w:t>
      </w:r>
      <w:r>
        <w:rPr>
          <w:rFonts w:hint="default" w:ascii="Times New Roman" w:hAnsi="Times New Roman" w:eastAsia="方正仿宋_GBK" w:cs="Times New Roman"/>
          <w:color w:val="auto"/>
          <w:kern w:val="0"/>
          <w:sz w:val="32"/>
          <w:szCs w:val="32"/>
          <w:highlight w:val="none"/>
          <w:lang w:eastAsia="zh-CN"/>
        </w:rPr>
        <w:t>毕马威华振会计师事务所（特殊普通合伙）</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仿宋_GB2312" w:cs="Times New Roman"/>
          <w:b/>
          <w:color w:val="auto"/>
          <w:kern w:val="0"/>
          <w:sz w:val="32"/>
          <w:szCs w:val="32"/>
        </w:rPr>
      </w:pPr>
      <w:r>
        <w:rPr>
          <w:rFonts w:hint="default" w:ascii="Times New Roman" w:hAnsi="Times New Roman" w:eastAsia="方正仿宋_GBK" w:cs="Times New Roman"/>
          <w:color w:val="auto"/>
          <w:kern w:val="0"/>
          <w:sz w:val="32"/>
          <w:szCs w:val="32"/>
          <w:highlight w:val="none"/>
        </w:rPr>
        <w:t>注册会计师：</w:t>
      </w:r>
      <w:r>
        <w:rPr>
          <w:rFonts w:hint="default" w:ascii="Times New Roman" w:hAnsi="Times New Roman" w:eastAsia="方正仿宋_GBK" w:cs="Times New Roman"/>
          <w:color w:val="auto"/>
          <w:kern w:val="0"/>
          <w:sz w:val="32"/>
          <w:szCs w:val="32"/>
          <w:highlight w:val="none"/>
          <w:lang w:eastAsia="zh-CN"/>
        </w:rPr>
        <w:t>薛晨俊、王威舜</w:t>
      </w:r>
      <w:r>
        <w:rPr>
          <w:rFonts w:hint="default" w:ascii="Times New Roman" w:hAnsi="Times New Roman" w:eastAsia="方正仿宋_GBK" w:cs="Times New Roman"/>
          <w:color w:val="auto"/>
          <w:kern w:val="0"/>
          <w:sz w:val="32"/>
          <w:szCs w:val="32"/>
          <w:highlight w:val="none"/>
        </w:rPr>
        <w:t>　</w:t>
      </w:r>
    </w:p>
    <w:p>
      <w:pPr>
        <w:keepNext w:val="0"/>
        <w:keepLines w:val="0"/>
        <w:pageBreakBefore w:val="0"/>
        <w:widowControl/>
        <w:numPr>
          <w:ilvl w:val="0"/>
          <w:numId w:val="1"/>
        </w:numPr>
        <w:kinsoku/>
        <w:wordWrap/>
        <w:overflowPunct/>
        <w:topLinePunct w:val="0"/>
        <w:autoSpaceDE/>
        <w:autoSpaceDN/>
        <w:bidi w:val="0"/>
        <w:spacing w:line="580" w:lineRule="exact"/>
        <w:jc w:val="center"/>
        <w:rPr>
          <w:rFonts w:hint="default" w:ascii="Times New Roman" w:hAnsi="Times New Roman" w:eastAsia="方正小标宋_GBK" w:cs="Times New Roman"/>
          <w:bCs/>
          <w:color w:val="auto"/>
          <w:kern w:val="0"/>
          <w:sz w:val="32"/>
          <w:szCs w:val="32"/>
        </w:rPr>
      </w:pPr>
      <w:r>
        <w:rPr>
          <w:rFonts w:hint="default" w:ascii="Times New Roman" w:hAnsi="Times New Roman" w:eastAsia="方正小标宋_GBK" w:cs="Times New Roman"/>
          <w:bCs/>
          <w:color w:val="auto"/>
          <w:kern w:val="0"/>
          <w:sz w:val="32"/>
          <w:szCs w:val="32"/>
        </w:rPr>
        <w:t> 公司数据和业务数据摘要</w:t>
      </w:r>
    </w:p>
    <w:p>
      <w:pPr>
        <w:keepNext w:val="0"/>
        <w:keepLines w:val="0"/>
        <w:pageBreakBefore w:val="0"/>
        <w:widowControl/>
        <w:kinsoku/>
        <w:wordWrap/>
        <w:overflowPunct/>
        <w:topLinePunct w:val="0"/>
        <w:autoSpaceDE/>
        <w:autoSpaceDN/>
        <w:bidi w:val="0"/>
        <w:spacing w:line="580" w:lineRule="exact"/>
        <w:ind w:firstLine="470" w:firstLineChars="147"/>
        <w:jc w:val="left"/>
        <w:rPr>
          <w:rFonts w:hint="default" w:ascii="Times New Roman" w:hAnsi="Times New Roman" w:eastAsia="方正黑体_GBK" w:cs="Times New Roman"/>
          <w:b/>
          <w:bCs/>
          <w:color w:val="auto"/>
          <w:kern w:val="0"/>
          <w:sz w:val="32"/>
          <w:szCs w:val="32"/>
        </w:rPr>
      </w:pPr>
      <w:r>
        <w:rPr>
          <w:rFonts w:hint="default" w:ascii="Times New Roman" w:hAnsi="Times New Roman" w:eastAsia="方正黑体_GBK" w:cs="Times New Roman"/>
          <w:bCs/>
          <w:color w:val="auto"/>
          <w:kern w:val="0"/>
          <w:sz w:val="32"/>
          <w:szCs w:val="32"/>
        </w:rPr>
        <w:t>一、截止报告期末前两年的主要会计数据</w:t>
      </w:r>
    </w:p>
    <w:p>
      <w:pPr>
        <w:keepNext w:val="0"/>
        <w:keepLines w:val="0"/>
        <w:pageBreakBefore w:val="0"/>
        <w:widowControl/>
        <w:kinsoku/>
        <w:wordWrap/>
        <w:overflowPunct/>
        <w:topLinePunct w:val="0"/>
        <w:autoSpaceDE/>
        <w:autoSpaceDN/>
        <w:bidi w:val="0"/>
        <w:spacing w:line="580" w:lineRule="exact"/>
        <w:jc w:val="righ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单位：万元（人民币）</w:t>
      </w:r>
    </w:p>
    <w:tbl>
      <w:tblPr>
        <w:tblStyle w:val="9"/>
        <w:tblW w:w="8828"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065"/>
        <w:gridCol w:w="2340"/>
        <w:gridCol w:w="242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406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color w:val="auto"/>
                <w:kern w:val="0"/>
                <w:sz w:val="28"/>
                <w:szCs w:val="28"/>
              </w:rPr>
            </w:pPr>
            <w:r>
              <w:rPr>
                <w:rFonts w:hint="default" w:ascii="Times New Roman" w:hAnsi="Times New Roman" w:eastAsia="方正仿宋_GBK" w:cs="Times New Roman"/>
                <w:b/>
                <w:color w:val="auto"/>
                <w:kern w:val="0"/>
                <w:sz w:val="28"/>
                <w:szCs w:val="28"/>
              </w:rPr>
              <w:t>项        目</w:t>
            </w:r>
          </w:p>
        </w:tc>
        <w:tc>
          <w:tcPr>
            <w:tcW w:w="234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color w:val="auto"/>
                <w:kern w:val="0"/>
                <w:sz w:val="28"/>
                <w:szCs w:val="28"/>
              </w:rPr>
            </w:pPr>
            <w:r>
              <w:rPr>
                <w:rFonts w:hint="default" w:ascii="Times New Roman" w:hAnsi="Times New Roman" w:eastAsia="方正仿宋_GBK" w:cs="Times New Roman"/>
                <w:b/>
                <w:color w:val="auto"/>
                <w:kern w:val="0"/>
                <w:sz w:val="28"/>
                <w:szCs w:val="28"/>
              </w:rPr>
              <w:t>20</w:t>
            </w:r>
            <w:r>
              <w:rPr>
                <w:rFonts w:hint="default" w:ascii="Times New Roman" w:hAnsi="Times New Roman" w:eastAsia="方正仿宋_GBK" w:cs="Times New Roman"/>
                <w:b/>
                <w:color w:val="auto"/>
                <w:kern w:val="0"/>
                <w:sz w:val="28"/>
                <w:szCs w:val="28"/>
                <w:lang w:eastAsia="zh-CN"/>
              </w:rPr>
              <w:t>2</w:t>
            </w:r>
            <w:r>
              <w:rPr>
                <w:rFonts w:hint="default" w:ascii="Times New Roman" w:hAnsi="Times New Roman" w:eastAsia="方正仿宋_GBK" w:cs="Times New Roman"/>
                <w:b/>
                <w:color w:val="auto"/>
                <w:kern w:val="0"/>
                <w:sz w:val="28"/>
                <w:szCs w:val="28"/>
                <w:lang w:val="en-US" w:eastAsia="zh-CN"/>
              </w:rPr>
              <w:t>2</w:t>
            </w:r>
            <w:r>
              <w:rPr>
                <w:rFonts w:hint="default" w:ascii="Times New Roman" w:hAnsi="Times New Roman" w:eastAsia="方正仿宋_GBK" w:cs="Times New Roman"/>
                <w:b/>
                <w:color w:val="auto"/>
                <w:kern w:val="0"/>
                <w:sz w:val="28"/>
                <w:szCs w:val="28"/>
              </w:rPr>
              <w:t>年度</w:t>
            </w:r>
          </w:p>
        </w:tc>
        <w:tc>
          <w:tcPr>
            <w:tcW w:w="242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color w:val="auto"/>
                <w:kern w:val="0"/>
                <w:sz w:val="28"/>
                <w:szCs w:val="28"/>
                <w:highlight w:val="none"/>
              </w:rPr>
            </w:pPr>
            <w:r>
              <w:rPr>
                <w:rFonts w:hint="default" w:ascii="Times New Roman" w:hAnsi="Times New Roman" w:eastAsia="方正仿宋_GBK" w:cs="Times New Roman"/>
                <w:b/>
                <w:color w:val="auto"/>
                <w:kern w:val="0"/>
                <w:sz w:val="28"/>
                <w:szCs w:val="28"/>
                <w:highlight w:val="none"/>
              </w:rPr>
              <w:t>20</w:t>
            </w:r>
            <w:r>
              <w:rPr>
                <w:rFonts w:hint="default" w:ascii="Times New Roman" w:hAnsi="Times New Roman" w:eastAsia="方正仿宋_GBK" w:cs="Times New Roman"/>
                <w:b/>
                <w:color w:val="auto"/>
                <w:kern w:val="0"/>
                <w:sz w:val="28"/>
                <w:szCs w:val="28"/>
                <w:highlight w:val="none"/>
                <w:lang w:val="en-US" w:eastAsia="zh-CN"/>
              </w:rPr>
              <w:t>21</w:t>
            </w:r>
            <w:r>
              <w:rPr>
                <w:rFonts w:hint="default" w:ascii="Times New Roman" w:hAnsi="Times New Roman" w:eastAsia="方正仿宋_GBK" w:cs="Times New Roman"/>
                <w:b/>
                <w:color w:val="auto"/>
                <w:kern w:val="0"/>
                <w:sz w:val="28"/>
                <w:szCs w:val="28"/>
                <w:highlight w:val="none"/>
              </w:rPr>
              <w:t>年度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4065"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jc w:val="left"/>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总资产</w:t>
            </w:r>
          </w:p>
        </w:tc>
        <w:tc>
          <w:tcPr>
            <w:tcW w:w="234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ind w:right="480"/>
              <w:jc w:val="center"/>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color w:val="auto"/>
                <w:kern w:val="0"/>
                <w:sz w:val="28"/>
                <w:szCs w:val="28"/>
                <w:highlight w:val="none"/>
                <w:lang w:val="en-US" w:eastAsia="zh-CN"/>
              </w:rPr>
              <w:t xml:space="preserve"> 34691.72</w:t>
            </w:r>
          </w:p>
        </w:tc>
        <w:tc>
          <w:tcPr>
            <w:tcW w:w="2423" w:type="dxa"/>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kinsoku/>
              <w:wordWrap/>
              <w:overflowPunct/>
              <w:topLinePunct w:val="0"/>
              <w:autoSpaceDE/>
              <w:autoSpaceDN/>
              <w:bidi w:val="0"/>
              <w:spacing w:line="580" w:lineRule="exact"/>
              <w:ind w:right="480" w:rightChars="0"/>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lang w:val="en-US" w:eastAsia="zh-CN"/>
              </w:rPr>
              <w:t>38473.79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4065"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jc w:val="left"/>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存款余额</w:t>
            </w:r>
          </w:p>
        </w:tc>
        <w:tc>
          <w:tcPr>
            <w:tcW w:w="234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ind w:right="480"/>
              <w:jc w:val="center"/>
              <w:rPr>
                <w:rFonts w:hint="default" w:ascii="Times New Roman" w:hAnsi="Times New Roman" w:eastAsia="方正仿宋_GBK" w:cs="Times New Roman"/>
                <w:color w:val="auto"/>
                <w:kern w:val="0"/>
                <w:sz w:val="28"/>
                <w:szCs w:val="28"/>
                <w:highlight w:val="none"/>
                <w:lang w:val="en-US"/>
              </w:rPr>
            </w:pPr>
            <w:r>
              <w:rPr>
                <w:rFonts w:hint="default" w:ascii="Times New Roman" w:hAnsi="Times New Roman" w:eastAsia="方正仿宋_GBK" w:cs="Times New Roman"/>
                <w:color w:val="auto"/>
                <w:kern w:val="0"/>
                <w:sz w:val="28"/>
                <w:szCs w:val="28"/>
                <w:highlight w:val="none"/>
                <w:lang w:val="en-US" w:eastAsia="zh-CN"/>
              </w:rPr>
              <w:t>8711.96</w:t>
            </w:r>
          </w:p>
        </w:tc>
        <w:tc>
          <w:tcPr>
            <w:tcW w:w="2423" w:type="dxa"/>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kinsoku/>
              <w:wordWrap/>
              <w:overflowPunct/>
              <w:topLinePunct w:val="0"/>
              <w:autoSpaceDE/>
              <w:autoSpaceDN/>
              <w:bidi w:val="0"/>
              <w:spacing w:line="580" w:lineRule="exact"/>
              <w:ind w:right="480" w:rightChars="0"/>
              <w:jc w:val="center"/>
              <w:rPr>
                <w:rFonts w:hint="default" w:ascii="Times New Roman" w:hAnsi="Times New Roman" w:eastAsia="方正仿宋_GBK" w:cs="Times New Roman"/>
                <w:color w:val="auto"/>
                <w:kern w:val="0"/>
                <w:sz w:val="28"/>
                <w:szCs w:val="28"/>
                <w:highlight w:val="none"/>
                <w:lang w:val="en-US"/>
              </w:rPr>
            </w:pPr>
            <w:r>
              <w:rPr>
                <w:rFonts w:hint="default" w:ascii="Times New Roman" w:hAnsi="Times New Roman" w:eastAsia="方正仿宋_GBK" w:cs="Times New Roman"/>
                <w:color w:val="auto"/>
                <w:kern w:val="0"/>
                <w:sz w:val="28"/>
                <w:szCs w:val="28"/>
                <w:highlight w:val="none"/>
                <w:lang w:val="en-US" w:eastAsia="zh-CN"/>
              </w:rPr>
              <w:t>10486.72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4065"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jc w:val="left"/>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贷款余额</w:t>
            </w:r>
          </w:p>
        </w:tc>
        <w:tc>
          <w:tcPr>
            <w:tcW w:w="234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ind w:right="480"/>
              <w:jc w:val="center"/>
              <w:rPr>
                <w:rFonts w:hint="default" w:ascii="Times New Roman" w:hAnsi="Times New Roman" w:eastAsia="方正仿宋_GBK" w:cs="Times New Roman"/>
                <w:color w:val="auto"/>
                <w:kern w:val="0"/>
                <w:sz w:val="28"/>
                <w:szCs w:val="28"/>
                <w:highlight w:val="none"/>
                <w:lang w:val="en-US"/>
              </w:rPr>
            </w:pPr>
            <w:r>
              <w:rPr>
                <w:rFonts w:hint="default" w:ascii="Times New Roman" w:hAnsi="Times New Roman" w:eastAsia="方正仿宋_GBK" w:cs="Times New Roman"/>
                <w:color w:val="auto"/>
                <w:kern w:val="0"/>
                <w:sz w:val="28"/>
                <w:szCs w:val="28"/>
                <w:highlight w:val="none"/>
                <w:lang w:val="en-US" w:eastAsia="zh-CN"/>
              </w:rPr>
              <w:t xml:space="preserve"> 30927.66</w:t>
            </w:r>
          </w:p>
        </w:tc>
        <w:tc>
          <w:tcPr>
            <w:tcW w:w="2423" w:type="dxa"/>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suppressLineNumbers w:val="0"/>
              <w:kinsoku/>
              <w:wordWrap/>
              <w:overflowPunct/>
              <w:topLinePunct w:val="0"/>
              <w:autoSpaceDE/>
              <w:autoSpaceDN/>
              <w:bidi w:val="0"/>
              <w:spacing w:line="580" w:lineRule="exact"/>
              <w:jc w:val="center"/>
              <w:textAlignment w:val="top"/>
              <w:rPr>
                <w:rFonts w:hint="default" w:ascii="Times New Roman" w:hAnsi="Times New Roman" w:eastAsia="方正仿宋_GBK" w:cs="Times New Roman"/>
                <w:color w:val="auto"/>
                <w:kern w:val="0"/>
                <w:sz w:val="28"/>
                <w:szCs w:val="28"/>
                <w:highlight w:val="none"/>
                <w:lang w:val="en-US"/>
              </w:rPr>
            </w:pPr>
            <w:r>
              <w:rPr>
                <w:rFonts w:hint="default" w:ascii="Times New Roman" w:hAnsi="Times New Roman" w:eastAsia="方正仿宋_GBK" w:cs="Times New Roman"/>
                <w:color w:val="auto"/>
                <w:kern w:val="0"/>
                <w:sz w:val="28"/>
                <w:szCs w:val="28"/>
                <w:highlight w:val="none"/>
                <w:lang w:val="en-US" w:eastAsia="zh-CN"/>
              </w:rPr>
              <w:t>28135.07</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4065"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jc w:val="left"/>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每股净资产（元/股）</w:t>
            </w:r>
          </w:p>
        </w:tc>
        <w:tc>
          <w:tcPr>
            <w:tcW w:w="234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ind w:right="480"/>
              <w:jc w:val="center"/>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color w:val="auto"/>
                <w:kern w:val="0"/>
                <w:sz w:val="28"/>
                <w:szCs w:val="28"/>
                <w:highlight w:val="none"/>
                <w:lang w:val="en-US" w:eastAsia="zh-CN"/>
              </w:rPr>
              <w:t>1</w:t>
            </w:r>
          </w:p>
        </w:tc>
        <w:tc>
          <w:tcPr>
            <w:tcW w:w="2423" w:type="dxa"/>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kinsoku/>
              <w:wordWrap/>
              <w:overflowPunct/>
              <w:topLinePunct w:val="0"/>
              <w:autoSpaceDE/>
              <w:autoSpaceDN/>
              <w:bidi w:val="0"/>
              <w:spacing w:line="580" w:lineRule="exact"/>
              <w:ind w:right="480" w:rightChars="0"/>
              <w:jc w:val="center"/>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color w:val="auto"/>
                <w:kern w:val="0"/>
                <w:sz w:val="28"/>
                <w:szCs w:val="28"/>
                <w:highlight w:val="none"/>
                <w:lang w:val="en-US" w:eastAsia="zh-CN"/>
              </w:rPr>
              <w:t>1</w:t>
            </w:r>
          </w:p>
        </w:tc>
      </w:tr>
    </w:tbl>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黑体_GBK" w:cs="Times New Roman"/>
          <w:bCs/>
          <w:color w:val="auto"/>
          <w:kern w:val="0"/>
          <w:sz w:val="32"/>
          <w:szCs w:val="32"/>
          <w:highlight w:val="none"/>
        </w:rPr>
      </w:pPr>
      <w:r>
        <w:rPr>
          <w:rFonts w:hint="default" w:ascii="Times New Roman" w:hAnsi="Times New Roman" w:eastAsia="方正黑体_GBK" w:cs="Times New Roman"/>
          <w:bCs/>
          <w:color w:val="auto"/>
          <w:kern w:val="0"/>
          <w:sz w:val="32"/>
          <w:szCs w:val="32"/>
          <w:highlight w:val="none"/>
        </w:rPr>
        <w:t>二、截止报告期末前两年的补充财务指标</w:t>
      </w:r>
    </w:p>
    <w:p>
      <w:pPr>
        <w:keepNext w:val="0"/>
        <w:keepLines w:val="0"/>
        <w:pageBreakBefore w:val="0"/>
        <w:widowControl/>
        <w:kinsoku/>
        <w:wordWrap/>
        <w:overflowPunct/>
        <w:topLinePunct w:val="0"/>
        <w:autoSpaceDE/>
        <w:autoSpaceDN/>
        <w:bidi w:val="0"/>
        <w:spacing w:line="580" w:lineRule="exact"/>
        <w:jc w:val="righ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单位：%</w:t>
      </w:r>
    </w:p>
    <w:tbl>
      <w:tblPr>
        <w:tblStyle w:val="9"/>
        <w:tblW w:w="8648"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428"/>
        <w:gridCol w:w="1260"/>
        <w:gridCol w:w="1980"/>
        <w:gridCol w:w="19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主要指标</w:t>
            </w:r>
          </w:p>
        </w:tc>
        <w:tc>
          <w:tcPr>
            <w:tcW w:w="126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标准值</w:t>
            </w:r>
          </w:p>
        </w:tc>
        <w:tc>
          <w:tcPr>
            <w:tcW w:w="198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202</w:t>
            </w:r>
            <w:r>
              <w:rPr>
                <w:rFonts w:hint="default" w:ascii="Times New Roman" w:hAnsi="Times New Roman" w:eastAsia="方正仿宋_GBK" w:cs="Times New Roman"/>
                <w:color w:val="auto"/>
                <w:kern w:val="0"/>
                <w:sz w:val="28"/>
                <w:szCs w:val="28"/>
                <w:highlight w:val="none"/>
                <w:lang w:val="en-US" w:eastAsia="zh-CN"/>
              </w:rPr>
              <w:t>1</w:t>
            </w:r>
            <w:r>
              <w:rPr>
                <w:rFonts w:hint="default" w:ascii="Times New Roman" w:hAnsi="Times New Roman" w:eastAsia="方正仿宋_GBK" w:cs="Times New Roman"/>
                <w:color w:val="auto"/>
                <w:kern w:val="0"/>
                <w:sz w:val="28"/>
                <w:szCs w:val="28"/>
                <w:highlight w:val="none"/>
              </w:rPr>
              <w:t>年度</w:t>
            </w:r>
          </w:p>
        </w:tc>
        <w:tc>
          <w:tcPr>
            <w:tcW w:w="198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20</w:t>
            </w:r>
            <w:r>
              <w:rPr>
                <w:rFonts w:hint="default" w:ascii="Times New Roman" w:hAnsi="Times New Roman" w:eastAsia="方正仿宋_GBK" w:cs="Times New Roman"/>
                <w:color w:val="auto"/>
                <w:kern w:val="0"/>
                <w:sz w:val="28"/>
                <w:szCs w:val="28"/>
                <w:highlight w:val="none"/>
                <w:lang w:val="en-US" w:eastAsia="zh-CN"/>
              </w:rPr>
              <w:t>20</w:t>
            </w:r>
            <w:r>
              <w:rPr>
                <w:rFonts w:hint="default" w:ascii="Times New Roman" w:hAnsi="Times New Roman" w:eastAsia="方正仿宋_GBK" w:cs="Times New Roman"/>
                <w:color w:val="auto"/>
                <w:kern w:val="0"/>
                <w:sz w:val="28"/>
                <w:szCs w:val="28"/>
                <w:highlight w:val="none"/>
              </w:rPr>
              <w:t>年度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jc w:val="left"/>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资本充足率</w:t>
            </w:r>
          </w:p>
        </w:tc>
        <w:tc>
          <w:tcPr>
            <w:tcW w:w="126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≥10.5</w:t>
            </w:r>
          </w:p>
        </w:tc>
        <w:tc>
          <w:tcPr>
            <w:tcW w:w="198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85.93</w:t>
            </w:r>
          </w:p>
        </w:tc>
        <w:tc>
          <w:tcPr>
            <w:tcW w:w="1980" w:type="dxa"/>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114.64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jc w:val="left"/>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存贷款比例(本外币)</w:t>
            </w:r>
          </w:p>
        </w:tc>
        <w:tc>
          <w:tcPr>
            <w:tcW w:w="126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ind w:right="280"/>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≤75</w:t>
            </w:r>
          </w:p>
        </w:tc>
        <w:tc>
          <w:tcPr>
            <w:tcW w:w="198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277.81</w:t>
            </w:r>
          </w:p>
        </w:tc>
        <w:tc>
          <w:tcPr>
            <w:tcW w:w="1980" w:type="dxa"/>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268.35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jc w:val="left"/>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不良贷款比率</w:t>
            </w:r>
          </w:p>
        </w:tc>
        <w:tc>
          <w:tcPr>
            <w:tcW w:w="126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ind w:right="420"/>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≤5</w:t>
            </w:r>
          </w:p>
        </w:tc>
        <w:tc>
          <w:tcPr>
            <w:tcW w:w="198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color w:val="auto"/>
                <w:kern w:val="0"/>
                <w:sz w:val="28"/>
                <w:szCs w:val="28"/>
                <w:highlight w:val="none"/>
              </w:rPr>
              <w:t>0.</w:t>
            </w:r>
            <w:r>
              <w:rPr>
                <w:rFonts w:hint="default" w:ascii="Times New Roman" w:hAnsi="Times New Roman" w:eastAsia="方正仿宋_GBK" w:cs="Times New Roman"/>
                <w:color w:val="auto"/>
                <w:kern w:val="0"/>
                <w:sz w:val="28"/>
                <w:szCs w:val="28"/>
                <w:highlight w:val="none"/>
                <w:lang w:val="en-US" w:eastAsia="zh-CN"/>
              </w:rPr>
              <w:t>50</w:t>
            </w:r>
          </w:p>
        </w:tc>
        <w:tc>
          <w:tcPr>
            <w:tcW w:w="1980" w:type="dxa"/>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0.75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jc w:val="left"/>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单一最大客户授信集中度</w:t>
            </w:r>
          </w:p>
        </w:tc>
        <w:tc>
          <w:tcPr>
            <w:tcW w:w="126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ind w:right="280"/>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≤10</w:t>
            </w:r>
          </w:p>
        </w:tc>
        <w:tc>
          <w:tcPr>
            <w:tcW w:w="198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8"/>
                <w:szCs w:val="28"/>
                <w:highlight w:val="none"/>
                <w:lang w:eastAsia="zh-CN"/>
              </w:rPr>
            </w:pPr>
            <w:r>
              <w:rPr>
                <w:rFonts w:hint="default" w:ascii="Times New Roman" w:hAnsi="Times New Roman" w:eastAsia="方正仿宋_GBK" w:cs="Times New Roman"/>
                <w:color w:val="auto"/>
                <w:kern w:val="0"/>
                <w:sz w:val="28"/>
                <w:szCs w:val="28"/>
                <w:highlight w:val="none"/>
              </w:rPr>
              <w:t>0.6</w:t>
            </w:r>
            <w:r>
              <w:rPr>
                <w:rFonts w:hint="default" w:ascii="Times New Roman" w:hAnsi="Times New Roman" w:eastAsia="方正仿宋_GBK" w:cs="Times New Roman"/>
                <w:color w:val="auto"/>
                <w:kern w:val="0"/>
                <w:sz w:val="28"/>
                <w:szCs w:val="28"/>
                <w:highlight w:val="none"/>
                <w:lang w:val="en-US" w:eastAsia="zh-CN"/>
              </w:rPr>
              <w:t>3</w:t>
            </w:r>
          </w:p>
        </w:tc>
        <w:tc>
          <w:tcPr>
            <w:tcW w:w="1980" w:type="dxa"/>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0.66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4"/>
                <w:highlight w:val="none"/>
              </w:rPr>
              <w:t>最大单一集团客户授信集中度</w:t>
            </w:r>
          </w:p>
        </w:tc>
        <w:tc>
          <w:tcPr>
            <w:tcW w:w="126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ind w:right="280"/>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≤15</w:t>
            </w:r>
          </w:p>
        </w:tc>
        <w:tc>
          <w:tcPr>
            <w:tcW w:w="198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8"/>
                <w:szCs w:val="28"/>
                <w:highlight w:val="none"/>
                <w:lang w:eastAsia="zh-CN"/>
              </w:rPr>
            </w:pPr>
            <w:r>
              <w:rPr>
                <w:rFonts w:hint="default" w:ascii="Times New Roman" w:hAnsi="Times New Roman" w:eastAsia="方正仿宋_GBK" w:cs="Times New Roman"/>
                <w:color w:val="auto"/>
                <w:kern w:val="0"/>
                <w:sz w:val="28"/>
                <w:szCs w:val="28"/>
                <w:highlight w:val="none"/>
              </w:rPr>
              <w:t>0.6</w:t>
            </w:r>
            <w:r>
              <w:rPr>
                <w:rFonts w:hint="default" w:ascii="Times New Roman" w:hAnsi="Times New Roman" w:eastAsia="方正仿宋_GBK" w:cs="Times New Roman"/>
                <w:color w:val="auto"/>
                <w:kern w:val="0"/>
                <w:sz w:val="28"/>
                <w:szCs w:val="28"/>
                <w:highlight w:val="none"/>
                <w:lang w:val="en-US" w:eastAsia="zh-CN"/>
              </w:rPr>
              <w:t>3</w:t>
            </w:r>
          </w:p>
        </w:tc>
        <w:tc>
          <w:tcPr>
            <w:tcW w:w="1980" w:type="dxa"/>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0.66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jc w:val="left"/>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流动性比例（人民币）</w:t>
            </w:r>
          </w:p>
        </w:tc>
        <w:tc>
          <w:tcPr>
            <w:tcW w:w="126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ind w:right="280"/>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≥25</w:t>
            </w:r>
          </w:p>
        </w:tc>
        <w:tc>
          <w:tcPr>
            <w:tcW w:w="198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145.13</w:t>
            </w:r>
          </w:p>
        </w:tc>
        <w:tc>
          <w:tcPr>
            <w:tcW w:w="1980" w:type="dxa"/>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176.98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jc w:val="left"/>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拨贷比</w:t>
            </w:r>
          </w:p>
        </w:tc>
        <w:tc>
          <w:tcPr>
            <w:tcW w:w="126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ind w:right="140"/>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≥2.5</w:t>
            </w:r>
          </w:p>
        </w:tc>
        <w:tc>
          <w:tcPr>
            <w:tcW w:w="198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8"/>
                <w:szCs w:val="28"/>
                <w:highlight w:val="none"/>
                <w:lang w:val="en-US" w:eastAsia="zh-CN"/>
              </w:rPr>
            </w:pPr>
            <w:r>
              <w:rPr>
                <w:rFonts w:hint="default" w:ascii="Times New Roman" w:hAnsi="Times New Roman" w:eastAsia="方正仿宋_GBK" w:cs="Times New Roman"/>
                <w:color w:val="auto"/>
                <w:kern w:val="0"/>
                <w:sz w:val="28"/>
                <w:szCs w:val="28"/>
                <w:highlight w:val="none"/>
              </w:rPr>
              <w:t>2.</w:t>
            </w:r>
            <w:r>
              <w:rPr>
                <w:rFonts w:hint="default" w:ascii="Times New Roman" w:hAnsi="Times New Roman" w:eastAsia="方正仿宋_GBK" w:cs="Times New Roman"/>
                <w:color w:val="auto"/>
                <w:kern w:val="0"/>
                <w:sz w:val="28"/>
                <w:szCs w:val="28"/>
                <w:highlight w:val="none"/>
                <w:lang w:val="en-US" w:eastAsia="zh-CN"/>
              </w:rPr>
              <w:t>74</w:t>
            </w:r>
          </w:p>
        </w:tc>
        <w:tc>
          <w:tcPr>
            <w:tcW w:w="1980" w:type="dxa"/>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2.63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8"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jc w:val="left"/>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杠杆率</w:t>
            </w:r>
          </w:p>
        </w:tc>
        <w:tc>
          <w:tcPr>
            <w:tcW w:w="126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ind w:right="420"/>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≥4</w:t>
            </w:r>
          </w:p>
        </w:tc>
        <w:tc>
          <w:tcPr>
            <w:tcW w:w="198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53.29</w:t>
            </w:r>
          </w:p>
        </w:tc>
        <w:tc>
          <w:tcPr>
            <w:tcW w:w="1980" w:type="dxa"/>
            <w:tcBorders>
              <w:top w:val="outset" w:color="auto" w:sz="6" w:space="0"/>
              <w:left w:val="outset" w:color="auto" w:sz="6" w:space="0"/>
              <w:bottom w:val="outset" w:color="auto" w:sz="6" w:space="0"/>
              <w:right w:val="outset" w:color="auto" w:sz="6" w:space="0"/>
            </w:tcBorders>
            <w:vAlign w:val="top"/>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8"/>
                <w:szCs w:val="28"/>
                <w:highlight w:val="none"/>
              </w:rPr>
            </w:pPr>
            <w:r>
              <w:rPr>
                <w:rFonts w:hint="default" w:ascii="Times New Roman" w:hAnsi="Times New Roman" w:eastAsia="方正仿宋_GBK" w:cs="Times New Roman"/>
                <w:color w:val="auto"/>
                <w:kern w:val="0"/>
                <w:sz w:val="28"/>
                <w:szCs w:val="28"/>
                <w:highlight w:val="none"/>
              </w:rPr>
              <w:t>70.19</w:t>
            </w:r>
          </w:p>
        </w:tc>
      </w:tr>
    </w:tbl>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黑体_GBK" w:cs="Times New Roman"/>
          <w:bCs/>
          <w:color w:val="auto"/>
          <w:kern w:val="0"/>
          <w:sz w:val="32"/>
          <w:szCs w:val="32"/>
          <w:highlight w:val="none"/>
        </w:rPr>
      </w:pPr>
      <w:bookmarkStart w:id="0" w:name="股权结构"/>
      <w:r>
        <w:rPr>
          <w:rFonts w:hint="default" w:ascii="Times New Roman" w:hAnsi="Times New Roman" w:eastAsia="方正黑体_GBK" w:cs="Times New Roman"/>
          <w:bCs/>
          <w:color w:val="auto"/>
          <w:kern w:val="0"/>
          <w:sz w:val="32"/>
          <w:szCs w:val="32"/>
          <w:highlight w:val="none"/>
        </w:rPr>
        <w:t>三、资产减值准备金情况</w:t>
      </w:r>
    </w:p>
    <w:p>
      <w:pPr>
        <w:keepNext w:val="0"/>
        <w:keepLines w:val="0"/>
        <w:pageBreakBefore w:val="0"/>
        <w:widowControl/>
        <w:kinsoku/>
        <w:wordWrap/>
        <w:overflowPunct/>
        <w:topLinePunct w:val="0"/>
        <w:autoSpaceDE/>
        <w:autoSpaceDN/>
        <w:bidi w:val="0"/>
        <w:spacing w:line="580" w:lineRule="exact"/>
        <w:jc w:val="righ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单位：万元（人民币）</w:t>
      </w:r>
    </w:p>
    <w:tbl>
      <w:tblPr>
        <w:tblStyle w:val="9"/>
        <w:tblW w:w="8790"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290"/>
        <w:gridCol w:w="25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16" w:hRule="atLeast"/>
        </w:trPr>
        <w:tc>
          <w:tcPr>
            <w:tcW w:w="629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项     目</w:t>
            </w:r>
          </w:p>
        </w:tc>
        <w:tc>
          <w:tcPr>
            <w:tcW w:w="250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金     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16" w:hRule="atLeast"/>
        </w:trPr>
        <w:tc>
          <w:tcPr>
            <w:tcW w:w="629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期初余额</w:t>
            </w:r>
          </w:p>
        </w:tc>
        <w:tc>
          <w:tcPr>
            <w:tcW w:w="250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789.98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16" w:hRule="atLeast"/>
        </w:trPr>
        <w:tc>
          <w:tcPr>
            <w:tcW w:w="629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报告期计提</w:t>
            </w:r>
          </w:p>
        </w:tc>
        <w:tc>
          <w:tcPr>
            <w:tcW w:w="250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163.79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16" w:hRule="atLeast"/>
        </w:trPr>
        <w:tc>
          <w:tcPr>
            <w:tcW w:w="629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本期收回以前年度核销</w:t>
            </w:r>
          </w:p>
        </w:tc>
        <w:tc>
          <w:tcPr>
            <w:tcW w:w="250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0.52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16" w:hRule="atLeast"/>
        </w:trPr>
        <w:tc>
          <w:tcPr>
            <w:tcW w:w="629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报告期核销</w:t>
            </w:r>
          </w:p>
        </w:tc>
        <w:tc>
          <w:tcPr>
            <w:tcW w:w="250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87.43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30" w:hRule="atLeast"/>
        </w:trPr>
        <w:tc>
          <w:tcPr>
            <w:tcW w:w="6290"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期末余额</w:t>
            </w:r>
          </w:p>
        </w:tc>
        <w:tc>
          <w:tcPr>
            <w:tcW w:w="250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866.87</w:t>
            </w:r>
          </w:p>
        </w:tc>
      </w:tr>
    </w:tbl>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黑体_GBK" w:cs="Times New Roman"/>
          <w:bCs/>
          <w:color w:val="auto"/>
          <w:kern w:val="0"/>
          <w:sz w:val="32"/>
          <w:szCs w:val="32"/>
          <w:highlight w:val="none"/>
        </w:rPr>
      </w:pPr>
      <w:r>
        <w:rPr>
          <w:rFonts w:hint="default" w:ascii="Times New Roman" w:hAnsi="Times New Roman" w:eastAsia="方正黑体_GBK" w:cs="Times New Roman"/>
          <w:bCs/>
          <w:color w:val="auto"/>
          <w:kern w:val="0"/>
          <w:sz w:val="32"/>
          <w:szCs w:val="32"/>
          <w:highlight w:val="none"/>
        </w:rPr>
        <w:t>四、资本的构成情况</w:t>
      </w:r>
    </w:p>
    <w:p>
      <w:pPr>
        <w:keepNext w:val="0"/>
        <w:keepLines w:val="0"/>
        <w:pageBreakBefore w:val="0"/>
        <w:widowControl/>
        <w:kinsoku/>
        <w:wordWrap/>
        <w:overflowPunct/>
        <w:topLinePunct w:val="0"/>
        <w:autoSpaceDE/>
        <w:autoSpaceDN/>
        <w:bidi w:val="0"/>
        <w:spacing w:line="580" w:lineRule="exact"/>
        <w:jc w:val="righ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单位：万元（人民币）</w:t>
      </w:r>
    </w:p>
    <w:tbl>
      <w:tblPr>
        <w:tblStyle w:val="9"/>
        <w:tblW w:w="8880"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5553"/>
        <w:gridCol w:w="332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项     目</w:t>
            </w:r>
          </w:p>
        </w:tc>
        <w:tc>
          <w:tcPr>
            <w:tcW w:w="332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kern w:val="0"/>
                <w:sz w:val="28"/>
                <w:szCs w:val="28"/>
              </w:rPr>
              <w:t>2022年度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核心一级资本净额</w:t>
            </w:r>
          </w:p>
        </w:tc>
        <w:tc>
          <w:tcPr>
            <w:tcW w:w="3327" w:type="dxa"/>
            <w:tcBorders>
              <w:top w:val="outset" w:color="auto" w:sz="6" w:space="0"/>
              <w:left w:val="outset" w:color="auto" w:sz="6" w:space="0"/>
              <w:bottom w:val="outset" w:color="auto" w:sz="6" w:space="0"/>
              <w:right w:val="outset" w:color="auto" w:sz="6" w:space="0"/>
            </w:tcBorders>
            <w:vAlign w:val="bottom"/>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20457.61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一级资本净额</w:t>
            </w:r>
          </w:p>
        </w:tc>
        <w:tc>
          <w:tcPr>
            <w:tcW w:w="3327" w:type="dxa"/>
            <w:tcBorders>
              <w:top w:val="outset" w:color="auto" w:sz="6" w:space="0"/>
              <w:left w:val="outset" w:color="auto" w:sz="6" w:space="0"/>
              <w:bottom w:val="outset" w:color="auto" w:sz="6" w:space="0"/>
              <w:right w:val="outset" w:color="auto" w:sz="6" w:space="0"/>
            </w:tcBorders>
            <w:vAlign w:val="bottom"/>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20457.61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资本净额</w:t>
            </w:r>
          </w:p>
        </w:tc>
        <w:tc>
          <w:tcPr>
            <w:tcW w:w="332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20737.09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应用资本底线后的风险加权资产合计</w:t>
            </w:r>
          </w:p>
        </w:tc>
        <w:tc>
          <w:tcPr>
            <w:tcW w:w="332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24991.99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核心一级资本充足率%</w:t>
            </w:r>
          </w:p>
        </w:tc>
        <w:tc>
          <w:tcPr>
            <w:tcW w:w="332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81.86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46" w:hRule="atLeast"/>
        </w:trPr>
        <w:tc>
          <w:tcPr>
            <w:tcW w:w="5553"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一级资本充足率%</w:t>
            </w:r>
          </w:p>
        </w:tc>
        <w:tc>
          <w:tcPr>
            <w:tcW w:w="332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81.86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61" w:hRule="atLeast"/>
        </w:trPr>
        <w:tc>
          <w:tcPr>
            <w:tcW w:w="5553" w:type="dxa"/>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autoSpaceDE/>
              <w:autoSpaceDN/>
              <w:bidi w:val="0"/>
              <w:spacing w:line="580" w:lineRule="exac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资本充足率%</w:t>
            </w:r>
          </w:p>
        </w:tc>
        <w:tc>
          <w:tcPr>
            <w:tcW w:w="332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82.97</w:t>
            </w:r>
          </w:p>
        </w:tc>
      </w:tr>
    </w:tbl>
    <w:p>
      <w:pPr>
        <w:keepNext w:val="0"/>
        <w:keepLines w:val="0"/>
        <w:pageBreakBefore w:val="0"/>
        <w:widowControl/>
        <w:kinsoku/>
        <w:wordWrap/>
        <w:overflowPunct/>
        <w:topLinePunct w:val="0"/>
        <w:autoSpaceDE/>
        <w:autoSpaceDN/>
        <w:bidi w:val="0"/>
        <w:spacing w:line="580" w:lineRule="exact"/>
        <w:jc w:val="both"/>
        <w:rPr>
          <w:rFonts w:hint="default" w:ascii="Times New Roman" w:hAnsi="Times New Roman" w:eastAsia="方正小标宋_GBK" w:cs="Times New Roman"/>
          <w:bCs/>
          <w:color w:val="auto"/>
          <w:kern w:val="0"/>
          <w:sz w:val="32"/>
          <w:szCs w:val="32"/>
        </w:rPr>
      </w:pPr>
    </w:p>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color w:val="auto"/>
          <w:kern w:val="0"/>
          <w:sz w:val="32"/>
          <w:szCs w:val="32"/>
        </w:rPr>
      </w:pPr>
      <w:r>
        <w:rPr>
          <w:rFonts w:hint="default" w:ascii="Times New Roman" w:hAnsi="Times New Roman" w:eastAsia="方正小标宋_GBK" w:cs="Times New Roman"/>
          <w:bCs/>
          <w:color w:val="auto"/>
          <w:kern w:val="0"/>
          <w:sz w:val="32"/>
          <w:szCs w:val="32"/>
        </w:rPr>
        <w:t>第三节  股本变动和股东情况</w:t>
      </w:r>
    </w:p>
    <w:p>
      <w:pPr>
        <w:keepNext w:val="0"/>
        <w:keepLines w:val="0"/>
        <w:pageBreakBefore w:val="0"/>
        <w:widowControl/>
        <w:kinsoku/>
        <w:wordWrap/>
        <w:overflowPunct/>
        <w:topLinePunct w:val="0"/>
        <w:autoSpaceDE/>
        <w:autoSpaceDN/>
        <w:bidi w:val="0"/>
        <w:spacing w:line="580" w:lineRule="exact"/>
        <w:ind w:firstLine="627" w:firstLineChars="196"/>
        <w:jc w:val="left"/>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一、股本变化情况</w:t>
      </w:r>
    </w:p>
    <w:p>
      <w:pPr>
        <w:keepNext w:val="0"/>
        <w:keepLines w:val="0"/>
        <w:pageBreakBefore w:val="0"/>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截至20</w:t>
      </w:r>
      <w:r>
        <w:rPr>
          <w:rFonts w:hint="default" w:ascii="Times New Roman" w:hAnsi="Times New Roman" w:eastAsia="方正仿宋_GBK" w:cs="Times New Roman"/>
          <w:color w:val="auto"/>
          <w:kern w:val="0"/>
          <w:sz w:val="32"/>
          <w:szCs w:val="32"/>
          <w:lang w:val="en-US" w:eastAsia="zh-CN"/>
        </w:rPr>
        <w:t>22</w:t>
      </w:r>
      <w:r>
        <w:rPr>
          <w:rFonts w:hint="default" w:ascii="Times New Roman" w:hAnsi="Times New Roman" w:eastAsia="方正仿宋_GBK" w:cs="Times New Roman"/>
          <w:color w:val="auto"/>
          <w:kern w:val="0"/>
          <w:sz w:val="32"/>
          <w:szCs w:val="32"/>
        </w:rPr>
        <w:t>年12月31日，本行注册资本为人民币</w:t>
      </w:r>
      <w:r>
        <w:rPr>
          <w:rFonts w:hint="default" w:ascii="Times New Roman" w:hAnsi="Times New Roman" w:eastAsia="方正仿宋_GBK" w:cs="Times New Roman"/>
          <w:color w:val="auto"/>
          <w:kern w:val="0"/>
          <w:sz w:val="32"/>
          <w:szCs w:val="32"/>
          <w:lang w:val="en-US" w:eastAsia="zh-CN"/>
        </w:rPr>
        <w:t>贰</w:t>
      </w:r>
      <w:r>
        <w:rPr>
          <w:rFonts w:hint="default" w:ascii="Times New Roman" w:hAnsi="Times New Roman" w:eastAsia="方正仿宋_GBK" w:cs="Times New Roman"/>
          <w:color w:val="auto"/>
          <w:kern w:val="0"/>
          <w:sz w:val="32"/>
          <w:szCs w:val="32"/>
        </w:rPr>
        <w:t>亿元整，实收资本为人民币</w:t>
      </w:r>
      <w:r>
        <w:rPr>
          <w:rFonts w:hint="default" w:ascii="Times New Roman" w:hAnsi="Times New Roman" w:eastAsia="方正仿宋_GBK" w:cs="Times New Roman"/>
          <w:color w:val="auto"/>
          <w:kern w:val="0"/>
          <w:sz w:val="32"/>
          <w:szCs w:val="32"/>
          <w:lang w:eastAsia="zh-CN"/>
        </w:rPr>
        <w:t>贰</w:t>
      </w:r>
      <w:r>
        <w:rPr>
          <w:rFonts w:hint="default" w:ascii="Times New Roman" w:hAnsi="Times New Roman" w:eastAsia="方正仿宋_GBK" w:cs="Times New Roman"/>
          <w:color w:val="auto"/>
          <w:kern w:val="0"/>
          <w:sz w:val="32"/>
          <w:szCs w:val="32"/>
        </w:rPr>
        <w:t>亿元整。</w:t>
      </w:r>
    </w:p>
    <w:p>
      <w:pPr>
        <w:keepNext w:val="0"/>
        <w:keepLines w:val="0"/>
        <w:pageBreakBefore w:val="0"/>
        <w:widowControl/>
        <w:kinsoku/>
        <w:wordWrap/>
        <w:overflowPunct/>
        <w:topLinePunct w:val="0"/>
        <w:autoSpaceDE/>
        <w:autoSpaceDN/>
        <w:bidi w:val="0"/>
        <w:spacing w:line="580" w:lineRule="exact"/>
        <w:ind w:firstLine="627" w:firstLineChars="196"/>
        <w:jc w:val="left"/>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二、股权结构</w:t>
      </w:r>
      <w:bookmarkEnd w:id="0"/>
    </w:p>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bCs/>
          <w:color w:val="auto"/>
          <w:kern w:val="0"/>
          <w:sz w:val="32"/>
          <w:szCs w:val="32"/>
        </w:rPr>
      </w:pPr>
      <w:r>
        <w:rPr>
          <w:rFonts w:hint="default" w:ascii="Times New Roman" w:hAnsi="Times New Roman" w:eastAsia="方正仿宋_GBK" w:cs="Times New Roman"/>
          <w:b/>
          <w:bCs/>
          <w:color w:val="auto"/>
          <w:kern w:val="0"/>
          <w:sz w:val="32"/>
          <w:szCs w:val="32"/>
        </w:rPr>
        <w:t>股权结构情况表一</w:t>
      </w:r>
    </w:p>
    <w:tbl>
      <w:tblPr>
        <w:tblStyle w:val="9"/>
        <w:tblW w:w="8657" w:type="dxa"/>
        <w:tblInd w:w="-36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86"/>
        <w:gridCol w:w="1243"/>
        <w:gridCol w:w="1400"/>
        <w:gridCol w:w="1136"/>
        <w:gridCol w:w="1200"/>
        <w:gridCol w:w="199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743" w:hRule="atLeast"/>
        </w:trPr>
        <w:tc>
          <w:tcPr>
            <w:tcW w:w="1686"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rPr>
            </w:pPr>
            <w:r>
              <w:rPr>
                <w:rFonts w:hint="default" w:ascii="Times New Roman" w:hAnsi="Times New Roman" w:eastAsia="方正仿宋_GBK" w:cs="Times New Roman"/>
                <w:b/>
                <w:color w:val="auto"/>
                <w:kern w:val="0"/>
                <w:sz w:val="24"/>
                <w:szCs w:val="24"/>
              </w:rPr>
              <w:t>股东名称</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rPr>
            </w:pPr>
            <w:r>
              <w:rPr>
                <w:rFonts w:hint="default" w:ascii="Times New Roman" w:hAnsi="Times New Roman" w:eastAsia="方正仿宋_GBK" w:cs="Times New Roman"/>
                <w:b/>
                <w:color w:val="auto"/>
                <w:kern w:val="0"/>
                <w:sz w:val="24"/>
                <w:szCs w:val="24"/>
              </w:rPr>
              <w:t>注册地</w:t>
            </w:r>
          </w:p>
        </w:tc>
        <w:tc>
          <w:tcPr>
            <w:tcW w:w="1400"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rPr>
            </w:pPr>
            <w:r>
              <w:rPr>
                <w:rFonts w:hint="default" w:ascii="Times New Roman" w:hAnsi="Times New Roman" w:eastAsia="方正仿宋_GBK" w:cs="Times New Roman"/>
                <w:b/>
                <w:color w:val="auto"/>
                <w:kern w:val="0"/>
                <w:sz w:val="24"/>
                <w:szCs w:val="24"/>
              </w:rPr>
              <w:t>股东性质</w:t>
            </w:r>
          </w:p>
        </w:tc>
        <w:tc>
          <w:tcPr>
            <w:tcW w:w="1136"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rPr>
            </w:pPr>
            <w:r>
              <w:rPr>
                <w:rFonts w:hint="default" w:ascii="Times New Roman" w:hAnsi="Times New Roman" w:eastAsia="方正仿宋_GBK" w:cs="Times New Roman"/>
                <w:b/>
                <w:color w:val="auto"/>
                <w:kern w:val="0"/>
                <w:sz w:val="24"/>
                <w:szCs w:val="24"/>
              </w:rPr>
              <w:t>持股</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rPr>
            </w:pPr>
            <w:r>
              <w:rPr>
                <w:rFonts w:hint="default" w:ascii="Times New Roman" w:hAnsi="Times New Roman" w:eastAsia="方正仿宋_GBK" w:cs="Times New Roman"/>
                <w:b/>
                <w:color w:val="auto"/>
                <w:kern w:val="0"/>
                <w:sz w:val="24"/>
                <w:szCs w:val="24"/>
              </w:rPr>
              <w:t>（万股）</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rPr>
            </w:pPr>
            <w:r>
              <w:rPr>
                <w:rFonts w:hint="default" w:ascii="Times New Roman" w:hAnsi="Times New Roman" w:eastAsia="方正仿宋_GBK" w:cs="Times New Roman"/>
                <w:b/>
                <w:color w:val="auto"/>
                <w:kern w:val="0"/>
                <w:sz w:val="24"/>
                <w:szCs w:val="24"/>
              </w:rPr>
              <w:t>持股比例</w:t>
            </w:r>
          </w:p>
        </w:tc>
        <w:tc>
          <w:tcPr>
            <w:tcW w:w="1992"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rPr>
            </w:pPr>
            <w:r>
              <w:rPr>
                <w:rFonts w:hint="default" w:ascii="Times New Roman" w:hAnsi="Times New Roman" w:eastAsia="方正仿宋_GBK" w:cs="Times New Roman"/>
                <w:b/>
                <w:color w:val="auto"/>
                <w:kern w:val="0"/>
                <w:sz w:val="24"/>
                <w:szCs w:val="24"/>
              </w:rPr>
              <w:t>派驻董事、监事（姓名/职务）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677" w:hRule="atLeast"/>
        </w:trPr>
        <w:tc>
          <w:tcPr>
            <w:tcW w:w="1686" w:type="dxa"/>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重庆农村商业银行股份有限公司</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重庆</w:t>
            </w:r>
          </w:p>
        </w:tc>
        <w:tc>
          <w:tcPr>
            <w:tcW w:w="1400" w:type="dxa"/>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国有企业</w:t>
            </w:r>
          </w:p>
        </w:tc>
        <w:tc>
          <w:tcPr>
            <w:tcW w:w="1136"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highlight w:val="none"/>
                <w:u w:val="none"/>
              </w:rPr>
              <w:t>10200</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51</w:t>
            </w:r>
            <w:r>
              <w:rPr>
                <w:rFonts w:hint="default" w:ascii="Times New Roman" w:hAnsi="Times New Roman" w:eastAsia="方正仿宋_GBK" w:cs="Times New Roman"/>
                <w:color w:val="auto"/>
                <w:kern w:val="0"/>
                <w:sz w:val="24"/>
                <w:szCs w:val="24"/>
              </w:rPr>
              <w:t>%</w:t>
            </w:r>
          </w:p>
        </w:tc>
        <w:tc>
          <w:tcPr>
            <w:tcW w:w="1992" w:type="dxa"/>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eastAsia="zh-CN"/>
              </w:rPr>
              <w:t>王瑜</w:t>
            </w:r>
            <w:r>
              <w:rPr>
                <w:rFonts w:hint="default" w:ascii="Times New Roman" w:hAnsi="Times New Roman" w:eastAsia="方正仿宋_GBK" w:cs="Times New Roman"/>
                <w:color w:val="auto"/>
                <w:kern w:val="0"/>
                <w:sz w:val="24"/>
                <w:szCs w:val="24"/>
              </w:rPr>
              <w:t>/执行董事兼行长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926" w:hRule="atLeast"/>
        </w:trPr>
        <w:tc>
          <w:tcPr>
            <w:tcW w:w="1686" w:type="dxa"/>
            <w:vAlign w:val="center"/>
          </w:tcPr>
          <w:p>
            <w:pPr>
              <w:keepNext w:val="0"/>
              <w:keepLines w:val="0"/>
              <w:pageBreakBefore w:val="0"/>
              <w:widowControl/>
              <w:kinsoku/>
              <w:wordWrap/>
              <w:overflowPunct/>
              <w:topLinePunct w:val="0"/>
              <w:autoSpaceDE/>
              <w:autoSpaceDN/>
              <w:bidi w:val="0"/>
              <w:adjustRightInd/>
              <w:snapToGrid/>
              <w:spacing w:line="500" w:lineRule="exact"/>
              <w:contextualSpacing/>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highlight w:val="none"/>
                <w:u w:val="none"/>
              </w:rPr>
              <w:t>石狮市国有投资发展有限公司</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石狮</w:t>
            </w:r>
          </w:p>
        </w:tc>
        <w:tc>
          <w:tcPr>
            <w:tcW w:w="1400" w:type="dxa"/>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国有企业</w:t>
            </w:r>
          </w:p>
        </w:tc>
        <w:tc>
          <w:tcPr>
            <w:tcW w:w="1136"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highlight w:val="none"/>
                <w:u w:val="none"/>
              </w:rPr>
              <w:t>1800</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9%</w:t>
            </w:r>
          </w:p>
        </w:tc>
        <w:tc>
          <w:tcPr>
            <w:tcW w:w="1992" w:type="dxa"/>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highlight w:val="yellow"/>
                <w:lang w:eastAsia="zh-CN"/>
              </w:rPr>
            </w:pPr>
            <w:r>
              <w:rPr>
                <w:rFonts w:hint="default" w:ascii="Times New Roman" w:hAnsi="Times New Roman" w:eastAsia="方正仿宋_GBK" w:cs="Times New Roman"/>
                <w:color w:val="auto"/>
                <w:kern w:val="0"/>
                <w:sz w:val="24"/>
                <w:szCs w:val="24"/>
                <w:highlight w:val="none"/>
                <w:u w:val="none"/>
                <w:lang w:val="en-US" w:eastAsia="zh-CN"/>
              </w:rPr>
              <w:t>林志勇</w:t>
            </w:r>
            <w:r>
              <w:rPr>
                <w:rFonts w:hint="default" w:ascii="Times New Roman" w:hAnsi="Times New Roman" w:eastAsia="方正仿宋_GBK" w:cs="Times New Roman"/>
                <w:color w:val="auto"/>
                <w:kern w:val="0"/>
                <w:sz w:val="24"/>
                <w:szCs w:val="24"/>
                <w:highlight w:val="none"/>
                <w:u w:val="none"/>
              </w:rPr>
              <w:t>/监事</w:t>
            </w:r>
            <w:r>
              <w:rPr>
                <w:rFonts w:hint="default" w:ascii="Times New Roman" w:hAnsi="Times New Roman" w:eastAsia="方正仿宋_GBK" w:cs="Times New Roman"/>
                <w:color w:val="auto"/>
                <w:kern w:val="0"/>
                <w:sz w:val="24"/>
                <w:szCs w:val="24"/>
                <w:highlight w:val="none"/>
                <w:u w:val="none"/>
                <w:lang w:eastAsia="zh-CN"/>
              </w:rPr>
              <w:t>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926" w:hRule="atLeast"/>
        </w:trPr>
        <w:tc>
          <w:tcPr>
            <w:tcW w:w="1686" w:type="dxa"/>
            <w:vAlign w:val="center"/>
          </w:tcPr>
          <w:p>
            <w:pPr>
              <w:keepNext w:val="0"/>
              <w:keepLines w:val="0"/>
              <w:pageBreakBefore w:val="0"/>
              <w:widowControl/>
              <w:kinsoku/>
              <w:wordWrap/>
              <w:overflowPunct/>
              <w:topLinePunct w:val="0"/>
              <w:autoSpaceDE/>
              <w:autoSpaceDN/>
              <w:bidi w:val="0"/>
              <w:adjustRightInd/>
              <w:snapToGrid/>
              <w:spacing w:line="500" w:lineRule="exact"/>
              <w:contextualSpacing/>
              <w:jc w:val="center"/>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highlight w:val="none"/>
                <w:u w:val="none"/>
              </w:rPr>
              <w:t>石狮市城市建设有限公司</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石狮</w:t>
            </w:r>
          </w:p>
        </w:tc>
        <w:tc>
          <w:tcPr>
            <w:tcW w:w="1400" w:type="dxa"/>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国有企业</w:t>
            </w:r>
          </w:p>
        </w:tc>
        <w:tc>
          <w:tcPr>
            <w:tcW w:w="1136"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highlight w:val="none"/>
                <w:u w:val="none"/>
              </w:rPr>
              <w:t>2000</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10%</w:t>
            </w:r>
          </w:p>
        </w:tc>
        <w:tc>
          <w:tcPr>
            <w:tcW w:w="1992" w:type="dxa"/>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highlight w:val="yellow"/>
                <w:lang w:eastAsia="zh-CN"/>
              </w:rPr>
            </w:pPr>
            <w:r>
              <w:rPr>
                <w:rFonts w:hint="default" w:ascii="Times New Roman" w:hAnsi="Times New Roman" w:eastAsia="方正仿宋_GBK" w:cs="Times New Roman"/>
                <w:color w:val="auto"/>
                <w:kern w:val="0"/>
                <w:sz w:val="24"/>
                <w:szCs w:val="24"/>
                <w:highlight w:val="none"/>
                <w:u w:val="none"/>
                <w:lang w:val="en-US" w:eastAsia="zh-CN"/>
              </w:rPr>
              <w:t>谢芳池/监事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926" w:hRule="atLeast"/>
        </w:trPr>
        <w:tc>
          <w:tcPr>
            <w:tcW w:w="1686" w:type="dxa"/>
            <w:vAlign w:val="center"/>
          </w:tcPr>
          <w:p>
            <w:pPr>
              <w:keepNext w:val="0"/>
              <w:keepLines w:val="0"/>
              <w:pageBreakBefore w:val="0"/>
              <w:widowControl/>
              <w:kinsoku/>
              <w:wordWrap/>
              <w:overflowPunct/>
              <w:topLinePunct w:val="0"/>
              <w:autoSpaceDE/>
              <w:autoSpaceDN/>
              <w:bidi w:val="0"/>
              <w:adjustRightInd/>
              <w:snapToGrid/>
              <w:spacing w:line="500" w:lineRule="exact"/>
              <w:contextualSpacing/>
              <w:jc w:val="center"/>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highlight w:val="none"/>
                <w:u w:val="none"/>
              </w:rPr>
              <w:t>石狮市新华宝纺织科技有限公司</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石狮</w:t>
            </w:r>
          </w:p>
        </w:tc>
        <w:tc>
          <w:tcPr>
            <w:tcW w:w="1400" w:type="dxa"/>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私营企业</w:t>
            </w:r>
          </w:p>
        </w:tc>
        <w:tc>
          <w:tcPr>
            <w:tcW w:w="1136"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highlight w:val="none"/>
                <w:u w:val="none"/>
              </w:rPr>
              <w:t>1000</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5%</w:t>
            </w:r>
          </w:p>
        </w:tc>
        <w:tc>
          <w:tcPr>
            <w:tcW w:w="1992" w:type="dxa"/>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926" w:hRule="atLeast"/>
        </w:trPr>
        <w:tc>
          <w:tcPr>
            <w:tcW w:w="1686" w:type="dxa"/>
            <w:vAlign w:val="center"/>
          </w:tcPr>
          <w:p>
            <w:pPr>
              <w:keepNext w:val="0"/>
              <w:keepLines w:val="0"/>
              <w:pageBreakBefore w:val="0"/>
              <w:kinsoku/>
              <w:wordWrap/>
              <w:overflowPunct/>
              <w:topLinePunct w:val="0"/>
              <w:autoSpaceDE/>
              <w:autoSpaceDN/>
              <w:bidi w:val="0"/>
              <w:adjustRightInd/>
              <w:snapToGrid/>
              <w:spacing w:line="500" w:lineRule="exact"/>
              <w:contextualSpacing/>
              <w:jc w:val="center"/>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highlight w:val="none"/>
                <w:u w:val="none"/>
              </w:rPr>
              <w:t>福建石狮产业投资发展集团有限责任公司</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石狮</w:t>
            </w:r>
          </w:p>
        </w:tc>
        <w:tc>
          <w:tcPr>
            <w:tcW w:w="1400" w:type="dxa"/>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国有企业</w:t>
            </w:r>
          </w:p>
        </w:tc>
        <w:tc>
          <w:tcPr>
            <w:tcW w:w="1136"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highlight w:val="none"/>
                <w:u w:val="none"/>
              </w:rPr>
              <w:t>1000</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5%</w:t>
            </w:r>
          </w:p>
        </w:tc>
        <w:tc>
          <w:tcPr>
            <w:tcW w:w="1992" w:type="dxa"/>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926" w:hRule="atLeast"/>
        </w:trPr>
        <w:tc>
          <w:tcPr>
            <w:tcW w:w="1686" w:type="dxa"/>
            <w:vAlign w:val="center"/>
          </w:tcPr>
          <w:p>
            <w:pPr>
              <w:keepNext w:val="0"/>
              <w:keepLines w:val="0"/>
              <w:pageBreakBefore w:val="0"/>
              <w:kinsoku/>
              <w:wordWrap/>
              <w:overflowPunct/>
              <w:topLinePunct w:val="0"/>
              <w:autoSpaceDE/>
              <w:autoSpaceDN/>
              <w:bidi w:val="0"/>
              <w:adjustRightInd/>
              <w:snapToGrid/>
              <w:spacing w:line="500" w:lineRule="exact"/>
              <w:contextualSpacing/>
              <w:jc w:val="center"/>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highlight w:val="none"/>
                <w:u w:val="none"/>
              </w:rPr>
              <w:t>石狮市德益服装有限责任公司</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石狮</w:t>
            </w:r>
          </w:p>
        </w:tc>
        <w:tc>
          <w:tcPr>
            <w:tcW w:w="1400" w:type="dxa"/>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eastAsia="zh-CN"/>
              </w:rPr>
              <w:t>私营企业</w:t>
            </w:r>
          </w:p>
        </w:tc>
        <w:tc>
          <w:tcPr>
            <w:tcW w:w="1136"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highlight w:val="none"/>
                <w:u w:val="none"/>
              </w:rPr>
              <w:t>1000</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5%</w:t>
            </w:r>
          </w:p>
        </w:tc>
        <w:tc>
          <w:tcPr>
            <w:tcW w:w="1992" w:type="dxa"/>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926" w:hRule="atLeast"/>
        </w:trPr>
        <w:tc>
          <w:tcPr>
            <w:tcW w:w="1686" w:type="dxa"/>
            <w:vAlign w:val="center"/>
          </w:tcPr>
          <w:p>
            <w:pPr>
              <w:keepNext w:val="0"/>
              <w:keepLines w:val="0"/>
              <w:pageBreakBefore w:val="0"/>
              <w:kinsoku/>
              <w:wordWrap/>
              <w:overflowPunct/>
              <w:topLinePunct w:val="0"/>
              <w:autoSpaceDE/>
              <w:autoSpaceDN/>
              <w:bidi w:val="0"/>
              <w:adjustRightInd/>
              <w:snapToGrid/>
              <w:spacing w:line="500" w:lineRule="exact"/>
              <w:contextualSpacing/>
              <w:jc w:val="center"/>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highlight w:val="none"/>
                <w:u w:val="none"/>
              </w:rPr>
              <w:t>石狮市华飞大酒店有限责任公司</w:t>
            </w:r>
          </w:p>
        </w:tc>
        <w:tc>
          <w:tcPr>
            <w:tcW w:w="1243"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石狮</w:t>
            </w:r>
          </w:p>
        </w:tc>
        <w:tc>
          <w:tcPr>
            <w:tcW w:w="1400" w:type="dxa"/>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eastAsia="zh-CN"/>
              </w:rPr>
              <w:t>私营企业</w:t>
            </w:r>
          </w:p>
        </w:tc>
        <w:tc>
          <w:tcPr>
            <w:tcW w:w="1136"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highlight w:val="none"/>
                <w:u w:val="none"/>
              </w:rPr>
              <w:t>1000</w:t>
            </w:r>
          </w:p>
        </w:tc>
        <w:tc>
          <w:tcPr>
            <w:tcW w:w="1200"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5%</w:t>
            </w:r>
          </w:p>
        </w:tc>
        <w:tc>
          <w:tcPr>
            <w:tcW w:w="1992" w:type="dxa"/>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926" w:hRule="atLeast"/>
        </w:trPr>
        <w:tc>
          <w:tcPr>
            <w:tcW w:w="1686" w:type="dxa"/>
            <w:vAlign w:val="center"/>
          </w:tcPr>
          <w:p>
            <w:pPr>
              <w:keepNext w:val="0"/>
              <w:keepLines w:val="0"/>
              <w:pageBreakBefore w:val="0"/>
              <w:kinsoku/>
              <w:wordWrap/>
              <w:overflowPunct/>
              <w:topLinePunct w:val="0"/>
              <w:autoSpaceDE/>
              <w:autoSpaceDN/>
              <w:bidi w:val="0"/>
              <w:adjustRightInd/>
              <w:snapToGrid/>
              <w:spacing w:line="500" w:lineRule="exact"/>
              <w:contextualSpacing/>
              <w:jc w:val="center"/>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highlight w:val="none"/>
                <w:u w:val="none"/>
              </w:rPr>
              <w:t>石狮市大帝集团有限公司</w:t>
            </w:r>
          </w:p>
        </w:tc>
        <w:tc>
          <w:tcPr>
            <w:tcW w:w="1243" w:type="dxa"/>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石狮</w:t>
            </w:r>
          </w:p>
        </w:tc>
        <w:tc>
          <w:tcPr>
            <w:tcW w:w="1400" w:type="dxa"/>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eastAsia="zh-CN"/>
              </w:rPr>
              <w:t>私营企业</w:t>
            </w:r>
          </w:p>
        </w:tc>
        <w:tc>
          <w:tcPr>
            <w:tcW w:w="1136" w:type="dxa"/>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highlight w:val="none"/>
                <w:u w:val="none"/>
              </w:rPr>
              <w:t>1000</w:t>
            </w:r>
          </w:p>
        </w:tc>
        <w:tc>
          <w:tcPr>
            <w:tcW w:w="1200" w:type="dxa"/>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5%</w:t>
            </w:r>
          </w:p>
        </w:tc>
        <w:tc>
          <w:tcPr>
            <w:tcW w:w="1992" w:type="dxa"/>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926" w:hRule="atLeast"/>
        </w:trPr>
        <w:tc>
          <w:tcPr>
            <w:tcW w:w="1686" w:type="dxa"/>
            <w:vAlign w:val="center"/>
          </w:tcPr>
          <w:p>
            <w:pPr>
              <w:keepNext w:val="0"/>
              <w:keepLines w:val="0"/>
              <w:pageBreakBefore w:val="0"/>
              <w:kinsoku/>
              <w:wordWrap/>
              <w:overflowPunct/>
              <w:topLinePunct w:val="0"/>
              <w:autoSpaceDE/>
              <w:autoSpaceDN/>
              <w:bidi w:val="0"/>
              <w:adjustRightInd/>
              <w:snapToGrid/>
              <w:spacing w:line="500" w:lineRule="exact"/>
              <w:contextualSpacing/>
              <w:jc w:val="center"/>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highlight w:val="none"/>
                <w:u w:val="none"/>
              </w:rPr>
              <w:t>泉州展志钢材有限公司</w:t>
            </w:r>
          </w:p>
        </w:tc>
        <w:tc>
          <w:tcPr>
            <w:tcW w:w="1243" w:type="dxa"/>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泉州</w:t>
            </w:r>
          </w:p>
        </w:tc>
        <w:tc>
          <w:tcPr>
            <w:tcW w:w="1400" w:type="dxa"/>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eastAsia="zh-CN"/>
              </w:rPr>
              <w:t>私营企业</w:t>
            </w:r>
          </w:p>
        </w:tc>
        <w:tc>
          <w:tcPr>
            <w:tcW w:w="1136" w:type="dxa"/>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highlight w:val="none"/>
                <w:u w:val="none"/>
              </w:rPr>
              <w:t>1000</w:t>
            </w:r>
          </w:p>
        </w:tc>
        <w:tc>
          <w:tcPr>
            <w:tcW w:w="1200" w:type="dxa"/>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5%</w:t>
            </w:r>
          </w:p>
        </w:tc>
        <w:tc>
          <w:tcPr>
            <w:tcW w:w="1992" w:type="dxa"/>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lang w:eastAsia="zh-CN"/>
              </w:rPr>
            </w:pPr>
          </w:p>
        </w:tc>
      </w:tr>
    </w:tbl>
    <w:tbl>
      <w:tblPr>
        <w:tblStyle w:val="9"/>
        <w:tblpPr w:leftFromText="180" w:rightFromText="180" w:vertAnchor="text" w:horzAnchor="page" w:tblpX="1432" w:tblpY="1047"/>
        <w:tblOverlap w:val="never"/>
        <w:tblW w:w="8830"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38"/>
        <w:gridCol w:w="1264"/>
        <w:gridCol w:w="1647"/>
        <w:gridCol w:w="1710"/>
        <w:gridCol w:w="247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67" w:hRule="atLeast"/>
        </w:trPr>
        <w:tc>
          <w:tcPr>
            <w:tcW w:w="173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股东性质</w:t>
            </w:r>
          </w:p>
        </w:tc>
        <w:tc>
          <w:tcPr>
            <w:tcW w:w="126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股东</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户数</w:t>
            </w:r>
          </w:p>
        </w:tc>
        <w:tc>
          <w:tcPr>
            <w:tcW w:w="1647"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持股数</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（万股）</w:t>
            </w:r>
          </w:p>
        </w:tc>
        <w:tc>
          <w:tcPr>
            <w:tcW w:w="1710" w:type="dxa"/>
            <w:tcBorders>
              <w:top w:val="single" w:color="auto" w:sz="8" w:space="0"/>
              <w:left w:val="single" w:color="auto" w:sz="8" w:space="0"/>
              <w:bottom w:val="single" w:color="auto" w:sz="8" w:space="0"/>
              <w:right w:val="single" w:color="auto" w:sz="8" w:space="0"/>
            </w:tcBorders>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持股</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比例</w:t>
            </w:r>
          </w:p>
        </w:tc>
        <w:tc>
          <w:tcPr>
            <w:tcW w:w="2471"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当年股权变更情况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24" w:hRule="atLeast"/>
        </w:trPr>
        <w:tc>
          <w:tcPr>
            <w:tcW w:w="173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国有企业</w:t>
            </w:r>
          </w:p>
        </w:tc>
        <w:tc>
          <w:tcPr>
            <w:tcW w:w="126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4</w:t>
            </w:r>
            <w:r>
              <w:rPr>
                <w:rFonts w:hint="default" w:ascii="Times New Roman" w:hAnsi="Times New Roman" w:eastAsia="方正仿宋_GBK" w:cs="Times New Roman"/>
                <w:color w:val="auto"/>
                <w:kern w:val="0"/>
                <w:sz w:val="24"/>
                <w:szCs w:val="24"/>
              </w:rPr>
              <w:t>户</w:t>
            </w:r>
          </w:p>
        </w:tc>
        <w:tc>
          <w:tcPr>
            <w:tcW w:w="1647"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15000</w:t>
            </w:r>
          </w:p>
        </w:tc>
        <w:tc>
          <w:tcPr>
            <w:tcW w:w="171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75</w:t>
            </w:r>
            <w:r>
              <w:rPr>
                <w:rFonts w:hint="default" w:ascii="Times New Roman" w:hAnsi="Times New Roman" w:eastAsia="方正仿宋_GBK" w:cs="Times New Roman"/>
                <w:color w:val="auto"/>
                <w:kern w:val="0"/>
                <w:sz w:val="24"/>
                <w:szCs w:val="24"/>
              </w:rPr>
              <w:t>%</w:t>
            </w:r>
          </w:p>
        </w:tc>
        <w:tc>
          <w:tcPr>
            <w:tcW w:w="2471"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lang w:val="en-US"/>
              </w:rPr>
            </w:pPr>
            <w:r>
              <w:rPr>
                <w:rFonts w:hint="default" w:ascii="Times New Roman" w:hAnsi="Times New Roman" w:eastAsia="方正仿宋_GBK" w:cs="Times New Roman"/>
                <w:color w:val="auto"/>
                <w:kern w:val="0"/>
                <w:sz w:val="24"/>
                <w:szCs w:val="24"/>
                <w:highlight w:val="none"/>
                <w:u w:val="none"/>
              </w:rPr>
              <w:t>爱登堡（福建）运营中心有限公司</w:t>
            </w:r>
            <w:r>
              <w:rPr>
                <w:rFonts w:hint="default" w:ascii="Times New Roman" w:hAnsi="Times New Roman" w:eastAsia="方正仿宋_GBK" w:cs="Times New Roman"/>
                <w:color w:val="auto"/>
                <w:kern w:val="0"/>
                <w:sz w:val="24"/>
                <w:szCs w:val="24"/>
                <w:highlight w:val="none"/>
                <w:u w:val="none"/>
                <w:lang w:val="en-US" w:eastAsia="zh-CN"/>
              </w:rPr>
              <w:t>，持股1000万股，持股比例5%股份转让给福建石狮产业投资发展集团有限责任公司，受让后福建石狮产业投资发展集团有限责任公司持有我行股份占比为5%。变更后，国有企业由3户变为4户，持股数14000万元变为15000万元，持股比例由70%变为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24" w:hRule="atLeast"/>
        </w:trPr>
        <w:tc>
          <w:tcPr>
            <w:tcW w:w="173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lang w:eastAsia="zh-CN"/>
              </w:rPr>
            </w:pPr>
            <w:r>
              <w:rPr>
                <w:rFonts w:hint="default" w:ascii="Times New Roman" w:hAnsi="Times New Roman" w:eastAsia="方正仿宋_GBK" w:cs="Times New Roman"/>
                <w:color w:val="auto"/>
                <w:kern w:val="0"/>
                <w:sz w:val="24"/>
                <w:szCs w:val="24"/>
                <w:lang w:eastAsia="zh-CN"/>
              </w:rPr>
              <w:t>私营企业</w:t>
            </w:r>
          </w:p>
        </w:tc>
        <w:tc>
          <w:tcPr>
            <w:tcW w:w="126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5</w:t>
            </w:r>
            <w:r>
              <w:rPr>
                <w:rFonts w:hint="default" w:ascii="Times New Roman" w:hAnsi="Times New Roman" w:eastAsia="方正仿宋_GBK" w:cs="Times New Roman"/>
                <w:color w:val="auto"/>
                <w:kern w:val="0"/>
                <w:sz w:val="24"/>
                <w:szCs w:val="24"/>
              </w:rPr>
              <w:t>户</w:t>
            </w:r>
          </w:p>
        </w:tc>
        <w:tc>
          <w:tcPr>
            <w:tcW w:w="1647"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5000</w:t>
            </w:r>
          </w:p>
        </w:tc>
        <w:tc>
          <w:tcPr>
            <w:tcW w:w="171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30</w:t>
            </w:r>
            <w:r>
              <w:rPr>
                <w:rFonts w:hint="default" w:ascii="Times New Roman" w:hAnsi="Times New Roman" w:eastAsia="方正仿宋_GBK" w:cs="Times New Roman"/>
                <w:color w:val="auto"/>
                <w:kern w:val="0"/>
                <w:sz w:val="24"/>
                <w:szCs w:val="24"/>
              </w:rPr>
              <w:t>%</w:t>
            </w:r>
          </w:p>
        </w:tc>
        <w:tc>
          <w:tcPr>
            <w:tcW w:w="2471"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24" w:hRule="atLeast"/>
        </w:trPr>
        <w:tc>
          <w:tcPr>
            <w:tcW w:w="1738"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合计</w:t>
            </w:r>
          </w:p>
        </w:tc>
        <w:tc>
          <w:tcPr>
            <w:tcW w:w="126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9</w:t>
            </w:r>
            <w:r>
              <w:rPr>
                <w:rFonts w:hint="default" w:ascii="Times New Roman" w:hAnsi="Times New Roman" w:eastAsia="方正仿宋_GBK" w:cs="Times New Roman"/>
                <w:color w:val="auto"/>
                <w:kern w:val="0"/>
                <w:sz w:val="24"/>
                <w:szCs w:val="24"/>
              </w:rPr>
              <w:t>户</w:t>
            </w:r>
          </w:p>
        </w:tc>
        <w:tc>
          <w:tcPr>
            <w:tcW w:w="1647"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lang w:val="en-US" w:eastAsia="zh-CN"/>
              </w:rPr>
              <w:t>2</w:t>
            </w:r>
            <w:r>
              <w:rPr>
                <w:rFonts w:hint="default" w:ascii="Times New Roman" w:hAnsi="Times New Roman" w:eastAsia="方正仿宋_GBK" w:cs="Times New Roman"/>
                <w:color w:val="auto"/>
                <w:kern w:val="0"/>
                <w:sz w:val="24"/>
                <w:szCs w:val="24"/>
              </w:rPr>
              <w:t>0000</w:t>
            </w:r>
          </w:p>
        </w:tc>
        <w:tc>
          <w:tcPr>
            <w:tcW w:w="1710"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100%</w:t>
            </w:r>
          </w:p>
        </w:tc>
        <w:tc>
          <w:tcPr>
            <w:tcW w:w="2471"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rPr>
            </w:pPr>
          </w:p>
        </w:tc>
      </w:tr>
    </w:tbl>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bCs/>
          <w:color w:val="auto"/>
          <w:kern w:val="0"/>
          <w:sz w:val="32"/>
          <w:szCs w:val="32"/>
        </w:rPr>
      </w:pPr>
      <w:r>
        <w:rPr>
          <w:rFonts w:hint="default" w:ascii="Times New Roman" w:hAnsi="Times New Roman" w:eastAsia="方正仿宋_GBK" w:cs="Times New Roman"/>
          <w:b/>
          <w:bCs/>
          <w:color w:val="auto"/>
          <w:kern w:val="0"/>
          <w:sz w:val="32"/>
          <w:szCs w:val="32"/>
        </w:rPr>
        <w:t>股权结构情况表二</w:t>
      </w:r>
    </w:p>
    <w:p>
      <w:pPr>
        <w:keepNext w:val="0"/>
        <w:keepLines w:val="0"/>
        <w:pageBreakBefore w:val="0"/>
        <w:widowControl/>
        <w:kinsoku/>
        <w:wordWrap/>
        <w:overflowPunct/>
        <w:topLinePunct w:val="0"/>
        <w:autoSpaceDE/>
        <w:autoSpaceDN/>
        <w:bidi w:val="0"/>
        <w:spacing w:line="580" w:lineRule="exact"/>
        <w:ind w:firstLine="627" w:firstLineChars="196"/>
        <w:jc w:val="left"/>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三、股东所持本公司股份的质押或其他争议情况</w:t>
      </w:r>
    </w:p>
    <w:p>
      <w:pPr>
        <w:keepNext w:val="0"/>
        <w:keepLines w:val="0"/>
        <w:pageBreakBefore w:val="0"/>
        <w:widowControl/>
        <w:kinsoku/>
        <w:wordWrap/>
        <w:overflowPunct/>
        <w:topLinePunct w:val="0"/>
        <w:autoSpaceDE/>
        <w:autoSpaceDN/>
        <w:bidi w:val="0"/>
        <w:spacing w:line="580" w:lineRule="exact"/>
        <w:ind w:firstLine="640" w:firstLineChars="200"/>
        <w:jc w:val="both"/>
        <w:rPr>
          <w:rFonts w:hint="default" w:ascii="Times New Roman" w:hAnsi="Times New Roman" w:eastAsia="方正小标宋_GBK" w:cs="Times New Roman"/>
          <w:bCs/>
          <w:color w:val="auto"/>
          <w:kern w:val="0"/>
          <w:sz w:val="32"/>
          <w:szCs w:val="32"/>
        </w:rPr>
      </w:pPr>
      <w:r>
        <w:rPr>
          <w:rFonts w:hint="default" w:ascii="Times New Roman" w:hAnsi="Times New Roman" w:eastAsia="方正仿宋_GBK" w:cs="Times New Roman"/>
          <w:color w:val="auto"/>
          <w:kern w:val="0"/>
          <w:sz w:val="32"/>
          <w:szCs w:val="32"/>
        </w:rPr>
        <w:t>报告期内，不存在股东所持本公司股份用于质押或其他争议情况。</w:t>
      </w:r>
    </w:p>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小标宋_GBK" w:cs="Times New Roman"/>
          <w:bCs/>
          <w:color w:val="auto"/>
          <w:kern w:val="0"/>
          <w:sz w:val="32"/>
          <w:szCs w:val="32"/>
        </w:rPr>
      </w:pPr>
      <w:r>
        <w:rPr>
          <w:rFonts w:hint="default" w:ascii="Times New Roman" w:hAnsi="Times New Roman" w:eastAsia="方正小标宋_GBK" w:cs="Times New Roman"/>
          <w:bCs/>
          <w:color w:val="auto"/>
          <w:kern w:val="0"/>
          <w:sz w:val="32"/>
          <w:szCs w:val="32"/>
        </w:rPr>
        <w:t>第四节  董（监）事、高级管理人员和员工情况</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b/>
          <w:color w:val="auto"/>
          <w:kern w:val="0"/>
          <w:sz w:val="32"/>
          <w:szCs w:val="32"/>
        </w:rPr>
      </w:pPr>
      <w:r>
        <w:rPr>
          <w:rFonts w:hint="default" w:ascii="Times New Roman" w:hAnsi="Times New Roman" w:eastAsia="方正黑体_GBK" w:cs="Times New Roman"/>
          <w:bCs/>
          <w:color w:val="auto"/>
          <w:kern w:val="0"/>
          <w:sz w:val="32"/>
          <w:szCs w:val="32"/>
        </w:rPr>
        <w:t>一、执行董事基本情况</w:t>
      </w:r>
      <w:r>
        <w:rPr>
          <w:rFonts w:hint="default" w:ascii="Times New Roman" w:hAnsi="Times New Roman" w:eastAsia="方正仿宋_GBK" w:cs="Times New Roman"/>
          <w:b/>
          <w:color w:val="auto"/>
          <w:kern w:val="0"/>
          <w:sz w:val="32"/>
          <w:szCs w:val="32"/>
        </w:rPr>
        <w:t> </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（一）本行不设董事会，设执行董事1名，是股东会的执行机构和本行的经营决策机构，对股东会负责，由主发起行重庆农村商业银行选派，股东会选举产生。执行董事基本情况如下：</w:t>
      </w:r>
    </w:p>
    <w:tbl>
      <w:tblPr>
        <w:tblStyle w:val="9"/>
        <w:tblW w:w="8230"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80"/>
        <w:gridCol w:w="1417"/>
        <w:gridCol w:w="993"/>
        <w:gridCol w:w="1134"/>
        <w:gridCol w:w="1701"/>
        <w:gridCol w:w="160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1005" w:hRule="atLeast"/>
          <w:jc w:val="center"/>
        </w:trPr>
        <w:tc>
          <w:tcPr>
            <w:tcW w:w="1380" w:type="dxa"/>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姓名</w:t>
            </w:r>
          </w:p>
        </w:tc>
        <w:tc>
          <w:tcPr>
            <w:tcW w:w="1417" w:type="dxa"/>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职务</w:t>
            </w:r>
          </w:p>
        </w:tc>
        <w:tc>
          <w:tcPr>
            <w:tcW w:w="993" w:type="dxa"/>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社会</w:t>
            </w:r>
          </w:p>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职务</w:t>
            </w:r>
          </w:p>
        </w:tc>
        <w:tc>
          <w:tcPr>
            <w:tcW w:w="1134" w:type="dxa"/>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学历</w:t>
            </w:r>
          </w:p>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学位</w:t>
            </w:r>
          </w:p>
        </w:tc>
        <w:tc>
          <w:tcPr>
            <w:tcW w:w="1701" w:type="dxa"/>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职称</w:t>
            </w:r>
          </w:p>
        </w:tc>
        <w:tc>
          <w:tcPr>
            <w:tcW w:w="1605" w:type="dxa"/>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出生时间</w:t>
            </w:r>
          </w:p>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（年/月）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86" w:hRule="atLeast"/>
          <w:jc w:val="center"/>
        </w:trPr>
        <w:tc>
          <w:tcPr>
            <w:tcW w:w="1380" w:type="dxa"/>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王瑜</w:t>
            </w:r>
          </w:p>
        </w:tc>
        <w:tc>
          <w:tcPr>
            <w:tcW w:w="1417" w:type="dxa"/>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执行董事</w:t>
            </w:r>
          </w:p>
        </w:tc>
        <w:tc>
          <w:tcPr>
            <w:tcW w:w="993" w:type="dxa"/>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无</w:t>
            </w:r>
          </w:p>
        </w:tc>
        <w:tc>
          <w:tcPr>
            <w:tcW w:w="1134" w:type="dxa"/>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研究生</w:t>
            </w:r>
          </w:p>
        </w:tc>
        <w:tc>
          <w:tcPr>
            <w:tcW w:w="1701" w:type="dxa"/>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仿宋_GB2312" w:cs="Times New Roman"/>
                <w:sz w:val="24"/>
                <w:szCs w:val="24"/>
                <w:highlight w:val="none"/>
              </w:rPr>
              <w:t>软件设计师</w:t>
            </w:r>
          </w:p>
        </w:tc>
        <w:tc>
          <w:tcPr>
            <w:tcW w:w="1605" w:type="dxa"/>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19</w:t>
            </w:r>
            <w:r>
              <w:rPr>
                <w:rFonts w:hint="default" w:ascii="Times New Roman" w:hAnsi="Times New Roman" w:eastAsia="方正仿宋_GBK" w:cs="Times New Roman"/>
                <w:color w:val="auto"/>
                <w:kern w:val="0"/>
                <w:sz w:val="24"/>
                <w:szCs w:val="24"/>
                <w:highlight w:val="none"/>
                <w:lang w:val="en-US" w:eastAsia="zh-CN"/>
              </w:rPr>
              <w:t>8</w:t>
            </w:r>
            <w:r>
              <w:rPr>
                <w:rFonts w:hint="default" w:ascii="Times New Roman" w:hAnsi="Times New Roman" w:eastAsia="方正仿宋_GBK" w:cs="Times New Roman"/>
                <w:color w:val="auto"/>
                <w:kern w:val="0"/>
                <w:sz w:val="24"/>
                <w:szCs w:val="24"/>
                <w:highlight w:val="none"/>
              </w:rPr>
              <w:t>3年</w:t>
            </w:r>
            <w:r>
              <w:rPr>
                <w:rFonts w:hint="default" w:ascii="Times New Roman" w:hAnsi="Times New Roman" w:eastAsia="方正仿宋_GBK" w:cs="Times New Roman"/>
                <w:color w:val="auto"/>
                <w:kern w:val="0"/>
                <w:sz w:val="24"/>
                <w:szCs w:val="24"/>
                <w:highlight w:val="none"/>
                <w:lang w:val="en-US" w:eastAsia="zh-CN"/>
              </w:rPr>
              <w:t>12</w:t>
            </w:r>
            <w:r>
              <w:rPr>
                <w:rFonts w:hint="default" w:ascii="Times New Roman" w:hAnsi="Times New Roman" w:eastAsia="方正仿宋_GBK" w:cs="Times New Roman"/>
                <w:color w:val="auto"/>
                <w:kern w:val="0"/>
                <w:sz w:val="24"/>
                <w:szCs w:val="24"/>
                <w:highlight w:val="none"/>
              </w:rPr>
              <w:t>月</w:t>
            </w:r>
          </w:p>
        </w:tc>
      </w:tr>
    </w:tbl>
    <w:p>
      <w:pPr>
        <w:keepNext w:val="0"/>
        <w:keepLines w:val="0"/>
        <w:pageBreakBefore w:val="0"/>
        <w:widowControl/>
        <w:numPr>
          <w:ilvl w:val="0"/>
          <w:numId w:val="0"/>
        </w:numPr>
        <w:kinsoku/>
        <w:wordWrap/>
        <w:overflowPunct/>
        <w:topLinePunct w:val="0"/>
        <w:autoSpaceDE/>
        <w:autoSpaceDN/>
        <w:bidi w:val="0"/>
        <w:spacing w:line="580" w:lineRule="exact"/>
        <w:ind w:firstLine="640" w:firstLineChars="200"/>
        <w:outlineLvl w:val="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lang w:eastAsia="zh-CN"/>
        </w:rPr>
        <w:t>（二）</w:t>
      </w:r>
      <w:r>
        <w:rPr>
          <w:rFonts w:hint="default" w:ascii="Times New Roman" w:hAnsi="Times New Roman" w:eastAsia="方正仿宋_GBK" w:cs="Times New Roman"/>
          <w:color w:val="auto"/>
          <w:kern w:val="0"/>
          <w:sz w:val="32"/>
          <w:szCs w:val="32"/>
        </w:rPr>
        <w:t>本年度执行董事变动情况</w:t>
      </w:r>
    </w:p>
    <w:p>
      <w:pPr>
        <w:keepNext w:val="0"/>
        <w:keepLines w:val="0"/>
        <w:pageBreakBefore w:val="0"/>
        <w:widowControl/>
        <w:kinsoku/>
        <w:wordWrap/>
        <w:overflowPunct/>
        <w:topLinePunct w:val="0"/>
        <w:autoSpaceDE/>
        <w:autoSpaceDN/>
        <w:bidi w:val="0"/>
        <w:spacing w:line="580" w:lineRule="exact"/>
        <w:ind w:firstLine="640" w:firstLineChars="200"/>
        <w:outlineLvl w:val="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无变动。</w:t>
      </w:r>
    </w:p>
    <w:p>
      <w:pPr>
        <w:keepNext w:val="0"/>
        <w:keepLines w:val="0"/>
        <w:pageBreakBefore w:val="0"/>
        <w:widowControl/>
        <w:kinsoku/>
        <w:wordWrap/>
        <w:overflowPunct/>
        <w:topLinePunct w:val="0"/>
        <w:autoSpaceDE/>
        <w:autoSpaceDN/>
        <w:bidi w:val="0"/>
        <w:spacing w:line="580" w:lineRule="exact"/>
        <w:ind w:firstLine="640" w:firstLineChars="200"/>
        <w:outlineLvl w:val="0"/>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二、监事会基本情况</w:t>
      </w:r>
    </w:p>
    <w:p>
      <w:pPr>
        <w:keepNext w:val="0"/>
        <w:keepLines w:val="0"/>
        <w:pageBreakBefore w:val="0"/>
        <w:widowControl/>
        <w:kinsoku/>
        <w:wordWrap/>
        <w:overflowPunct/>
        <w:topLinePunct w:val="0"/>
        <w:autoSpaceDE/>
        <w:autoSpaceDN/>
        <w:bidi w:val="0"/>
        <w:spacing w:line="580" w:lineRule="exact"/>
        <w:ind w:firstLine="640" w:firstLineChars="200"/>
        <w:outlineLvl w:val="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本行2018年</w:t>
      </w:r>
      <w:r>
        <w:rPr>
          <w:rFonts w:hint="default" w:ascii="Times New Roman" w:hAnsi="Times New Roman" w:eastAsia="方正仿宋_GBK" w:cs="Times New Roman"/>
          <w:color w:val="auto"/>
          <w:kern w:val="0"/>
          <w:sz w:val="32"/>
          <w:szCs w:val="32"/>
          <w:highlight w:val="none"/>
          <w:lang w:val="en-US" w:eastAsia="zh-CN"/>
        </w:rPr>
        <w:t>9</w:t>
      </w:r>
      <w:r>
        <w:rPr>
          <w:rFonts w:hint="default" w:ascii="Times New Roman" w:hAnsi="Times New Roman" w:eastAsia="方正仿宋_GBK" w:cs="Times New Roman"/>
          <w:color w:val="auto"/>
          <w:kern w:val="0"/>
          <w:sz w:val="32"/>
          <w:szCs w:val="32"/>
          <w:highlight w:val="none"/>
        </w:rPr>
        <w:t>月成立监事会，监事会成员共3名，监事长1名，由股东</w:t>
      </w:r>
      <w:r>
        <w:rPr>
          <w:rFonts w:hint="default" w:ascii="Times New Roman" w:hAnsi="Times New Roman" w:eastAsia="方正仿宋_GBK" w:cs="Times New Roman"/>
          <w:color w:val="auto"/>
          <w:kern w:val="0"/>
          <w:sz w:val="32"/>
          <w:szCs w:val="32"/>
          <w:highlight w:val="none"/>
          <w:lang w:eastAsia="zh-CN"/>
        </w:rPr>
        <w:t>会选举代表</w:t>
      </w:r>
      <w:r>
        <w:rPr>
          <w:rFonts w:hint="default" w:ascii="Times New Roman" w:hAnsi="Times New Roman" w:eastAsia="方正仿宋_GBK" w:cs="Times New Roman"/>
          <w:color w:val="auto"/>
          <w:kern w:val="0"/>
          <w:sz w:val="32"/>
          <w:szCs w:val="32"/>
          <w:highlight w:val="none"/>
          <w:lang w:val="en-US" w:eastAsia="zh-CN"/>
        </w:rPr>
        <w:t>林志勇</w:t>
      </w:r>
      <w:r>
        <w:rPr>
          <w:rFonts w:hint="default" w:ascii="Times New Roman" w:hAnsi="Times New Roman" w:eastAsia="方正仿宋_GBK" w:cs="Times New Roman"/>
          <w:color w:val="auto"/>
          <w:kern w:val="0"/>
          <w:sz w:val="32"/>
          <w:szCs w:val="32"/>
          <w:highlight w:val="none"/>
        </w:rPr>
        <w:t>石狮市国有投资发展有限公司担任；</w:t>
      </w:r>
      <w:r>
        <w:rPr>
          <w:rFonts w:hint="default" w:ascii="Times New Roman" w:hAnsi="Times New Roman" w:eastAsia="方正仿宋_GBK" w:cs="Times New Roman"/>
          <w:color w:val="auto"/>
          <w:kern w:val="0"/>
          <w:sz w:val="32"/>
          <w:szCs w:val="32"/>
          <w:highlight w:val="none"/>
          <w:lang w:eastAsia="zh-CN"/>
        </w:rPr>
        <w:t>股东</w:t>
      </w:r>
      <w:r>
        <w:rPr>
          <w:rFonts w:hint="default" w:ascii="Times New Roman" w:hAnsi="Times New Roman" w:eastAsia="方正仿宋_GBK" w:cs="Times New Roman"/>
          <w:color w:val="auto"/>
          <w:kern w:val="0"/>
          <w:sz w:val="32"/>
          <w:szCs w:val="32"/>
          <w:highlight w:val="none"/>
        </w:rPr>
        <w:t>监事</w:t>
      </w:r>
      <w:r>
        <w:rPr>
          <w:rFonts w:hint="default" w:ascii="Times New Roman" w:hAnsi="Times New Roman" w:eastAsia="方正仿宋_GBK" w:cs="Times New Roman"/>
          <w:color w:val="auto"/>
          <w:kern w:val="0"/>
          <w:sz w:val="32"/>
          <w:szCs w:val="32"/>
          <w:highlight w:val="none"/>
          <w:lang w:val="en-US" w:eastAsia="zh-CN"/>
        </w:rPr>
        <w:t>1</w:t>
      </w:r>
      <w:r>
        <w:rPr>
          <w:rFonts w:hint="default" w:ascii="Times New Roman" w:hAnsi="Times New Roman" w:eastAsia="方正仿宋_GBK" w:cs="Times New Roman"/>
          <w:color w:val="auto"/>
          <w:kern w:val="0"/>
          <w:sz w:val="32"/>
          <w:szCs w:val="32"/>
          <w:highlight w:val="none"/>
        </w:rPr>
        <w:t>名，</w:t>
      </w:r>
      <w:r>
        <w:rPr>
          <w:rFonts w:hint="default" w:ascii="Times New Roman" w:hAnsi="Times New Roman" w:eastAsia="方正仿宋_GBK" w:cs="Times New Roman"/>
          <w:color w:val="auto"/>
          <w:kern w:val="0"/>
          <w:sz w:val="32"/>
          <w:szCs w:val="32"/>
          <w:highlight w:val="none"/>
          <w:lang w:eastAsia="zh-CN"/>
        </w:rPr>
        <w:t>由谢芳池代表</w:t>
      </w:r>
      <w:r>
        <w:rPr>
          <w:rFonts w:hint="default" w:ascii="Times New Roman" w:hAnsi="Times New Roman" w:eastAsia="方正仿宋_GBK" w:cs="Times New Roman"/>
          <w:color w:val="auto"/>
          <w:kern w:val="0"/>
          <w:sz w:val="32"/>
          <w:szCs w:val="32"/>
          <w:highlight w:val="none"/>
        </w:rPr>
        <w:t>石狮市</w:t>
      </w:r>
      <w:r>
        <w:rPr>
          <w:rFonts w:hint="default" w:ascii="Times New Roman" w:hAnsi="Times New Roman" w:eastAsia="方正仿宋_GBK" w:cs="Times New Roman"/>
          <w:color w:val="auto"/>
          <w:kern w:val="0"/>
          <w:sz w:val="32"/>
          <w:szCs w:val="32"/>
          <w:highlight w:val="none"/>
          <w:lang w:eastAsia="zh-CN"/>
        </w:rPr>
        <w:t>城市建设</w:t>
      </w:r>
      <w:r>
        <w:rPr>
          <w:rFonts w:hint="default" w:ascii="Times New Roman" w:hAnsi="Times New Roman" w:eastAsia="方正仿宋_GBK" w:cs="Times New Roman"/>
          <w:color w:val="auto"/>
          <w:kern w:val="0"/>
          <w:sz w:val="32"/>
          <w:szCs w:val="32"/>
          <w:highlight w:val="none"/>
        </w:rPr>
        <w:t>有限公司</w:t>
      </w:r>
      <w:r>
        <w:rPr>
          <w:rFonts w:hint="default" w:ascii="Times New Roman" w:hAnsi="Times New Roman" w:eastAsia="方正仿宋_GBK" w:cs="Times New Roman"/>
          <w:color w:val="auto"/>
          <w:kern w:val="0"/>
          <w:sz w:val="32"/>
          <w:szCs w:val="32"/>
          <w:highlight w:val="none"/>
          <w:lang w:eastAsia="zh-CN"/>
        </w:rPr>
        <w:t>担任，职工监事</w:t>
      </w:r>
      <w:r>
        <w:rPr>
          <w:rFonts w:hint="default" w:ascii="Times New Roman" w:hAnsi="Times New Roman" w:eastAsia="方正仿宋_GBK" w:cs="Times New Roman"/>
          <w:color w:val="auto"/>
          <w:kern w:val="0"/>
          <w:sz w:val="32"/>
          <w:szCs w:val="32"/>
          <w:highlight w:val="none"/>
        </w:rPr>
        <w:t>由本行员工</w:t>
      </w:r>
      <w:r>
        <w:rPr>
          <w:rFonts w:hint="default" w:ascii="Times New Roman" w:hAnsi="Times New Roman" w:eastAsia="方正仿宋_GBK" w:cs="Times New Roman"/>
          <w:color w:val="auto"/>
          <w:kern w:val="0"/>
          <w:sz w:val="32"/>
          <w:szCs w:val="32"/>
          <w:highlight w:val="none"/>
          <w:lang w:eastAsia="zh-CN"/>
        </w:rPr>
        <w:t>叶荣义</w:t>
      </w:r>
      <w:r>
        <w:rPr>
          <w:rFonts w:hint="default" w:ascii="Times New Roman" w:hAnsi="Times New Roman" w:eastAsia="方正仿宋_GBK" w:cs="Times New Roman"/>
          <w:color w:val="auto"/>
          <w:kern w:val="0"/>
          <w:sz w:val="32"/>
          <w:szCs w:val="32"/>
          <w:highlight w:val="none"/>
        </w:rPr>
        <w:t>担任，监事会基本情况如下：</w:t>
      </w:r>
    </w:p>
    <w:tbl>
      <w:tblPr>
        <w:tblStyle w:val="9"/>
        <w:tblW w:w="8972"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57"/>
        <w:gridCol w:w="957"/>
        <w:gridCol w:w="2658"/>
        <w:gridCol w:w="843"/>
        <w:gridCol w:w="976"/>
        <w:gridCol w:w="228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005" w:hRule="atLeast"/>
          <w:jc w:val="center"/>
        </w:trPr>
        <w:tc>
          <w:tcPr>
            <w:tcW w:w="1257"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姓名</w:t>
            </w:r>
          </w:p>
        </w:tc>
        <w:tc>
          <w:tcPr>
            <w:tcW w:w="957"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职务</w:t>
            </w:r>
          </w:p>
        </w:tc>
        <w:tc>
          <w:tcPr>
            <w:tcW w:w="2658"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社会职务</w:t>
            </w:r>
          </w:p>
        </w:tc>
        <w:tc>
          <w:tcPr>
            <w:tcW w:w="843"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学历</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学位</w:t>
            </w:r>
          </w:p>
        </w:tc>
        <w:tc>
          <w:tcPr>
            <w:tcW w:w="976"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职称</w:t>
            </w:r>
          </w:p>
        </w:tc>
        <w:tc>
          <w:tcPr>
            <w:tcW w:w="2281"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出生时间</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（年/月）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6" w:hRule="atLeast"/>
          <w:jc w:val="center"/>
        </w:trPr>
        <w:tc>
          <w:tcPr>
            <w:tcW w:w="1257"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林志勇</w:t>
            </w:r>
          </w:p>
        </w:tc>
        <w:tc>
          <w:tcPr>
            <w:tcW w:w="957"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监事长</w:t>
            </w:r>
          </w:p>
        </w:tc>
        <w:tc>
          <w:tcPr>
            <w:tcW w:w="2658"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石狮市国有投资发展有限公司</w:t>
            </w:r>
          </w:p>
        </w:tc>
        <w:tc>
          <w:tcPr>
            <w:tcW w:w="843"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本科</w:t>
            </w:r>
          </w:p>
        </w:tc>
        <w:tc>
          <w:tcPr>
            <w:tcW w:w="976"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无</w:t>
            </w:r>
          </w:p>
        </w:tc>
        <w:tc>
          <w:tcPr>
            <w:tcW w:w="2281"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sz w:val="24"/>
                <w:szCs w:val="24"/>
                <w:highlight w:val="none"/>
              </w:rPr>
              <w:t>19</w:t>
            </w:r>
            <w:r>
              <w:rPr>
                <w:rFonts w:hint="default" w:ascii="Times New Roman" w:hAnsi="Times New Roman" w:eastAsia="方正仿宋_GBK" w:cs="Times New Roman"/>
                <w:sz w:val="24"/>
                <w:szCs w:val="24"/>
                <w:highlight w:val="none"/>
                <w:lang w:val="en-US" w:eastAsia="zh-CN"/>
              </w:rPr>
              <w:t>79</w:t>
            </w:r>
            <w:r>
              <w:rPr>
                <w:rFonts w:hint="default" w:ascii="Times New Roman" w:hAnsi="Times New Roman" w:eastAsia="方正仿宋_GBK" w:cs="Times New Roman"/>
                <w:sz w:val="24"/>
                <w:szCs w:val="24"/>
                <w:highlight w:val="none"/>
              </w:rPr>
              <w:t>年1</w:t>
            </w:r>
            <w:r>
              <w:rPr>
                <w:rFonts w:hint="default" w:ascii="Times New Roman" w:hAnsi="Times New Roman" w:eastAsia="方正仿宋_GBK" w:cs="Times New Roman"/>
                <w:sz w:val="24"/>
                <w:szCs w:val="24"/>
                <w:highlight w:val="none"/>
                <w:lang w:val="en-US" w:eastAsia="zh-CN"/>
              </w:rPr>
              <w:t>1</w:t>
            </w:r>
            <w:r>
              <w:rPr>
                <w:rFonts w:hint="default" w:ascii="Times New Roman" w:hAnsi="Times New Roman" w:eastAsia="方正仿宋_GBK" w:cs="Times New Roman"/>
                <w:sz w:val="24"/>
                <w:szCs w:val="24"/>
                <w:highlight w:val="none"/>
              </w:rPr>
              <w:t>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6" w:hRule="atLeast"/>
          <w:jc w:val="center"/>
        </w:trPr>
        <w:tc>
          <w:tcPr>
            <w:tcW w:w="1257"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谢芳池</w:t>
            </w:r>
          </w:p>
        </w:tc>
        <w:tc>
          <w:tcPr>
            <w:tcW w:w="957"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监事</w:t>
            </w:r>
          </w:p>
        </w:tc>
        <w:tc>
          <w:tcPr>
            <w:tcW w:w="2658"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石狮市城市建设有限公司</w:t>
            </w:r>
          </w:p>
        </w:tc>
        <w:tc>
          <w:tcPr>
            <w:tcW w:w="843"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本科</w:t>
            </w:r>
          </w:p>
        </w:tc>
        <w:tc>
          <w:tcPr>
            <w:tcW w:w="976"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sz w:val="24"/>
                <w:szCs w:val="24"/>
                <w:highlight w:val="none"/>
              </w:rPr>
              <w:t>中级经济师</w:t>
            </w:r>
          </w:p>
        </w:tc>
        <w:tc>
          <w:tcPr>
            <w:tcW w:w="2281"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sz w:val="24"/>
                <w:szCs w:val="24"/>
                <w:highlight w:val="none"/>
              </w:rPr>
              <w:t>19</w:t>
            </w:r>
            <w:r>
              <w:rPr>
                <w:rFonts w:hint="default" w:ascii="Times New Roman" w:hAnsi="Times New Roman" w:eastAsia="方正仿宋_GBK" w:cs="Times New Roman"/>
                <w:sz w:val="24"/>
                <w:szCs w:val="24"/>
                <w:highlight w:val="none"/>
                <w:lang w:val="en-US" w:eastAsia="zh-CN"/>
              </w:rPr>
              <w:t>84</w:t>
            </w:r>
            <w:r>
              <w:rPr>
                <w:rFonts w:hint="default" w:ascii="Times New Roman" w:hAnsi="Times New Roman" w:eastAsia="方正仿宋_GBK" w:cs="Times New Roman"/>
                <w:sz w:val="24"/>
                <w:szCs w:val="24"/>
                <w:highlight w:val="none"/>
              </w:rPr>
              <w:t>年</w:t>
            </w:r>
            <w:r>
              <w:rPr>
                <w:rFonts w:hint="default" w:ascii="Times New Roman" w:hAnsi="Times New Roman" w:eastAsia="方正仿宋_GBK" w:cs="Times New Roman"/>
                <w:sz w:val="24"/>
                <w:szCs w:val="24"/>
                <w:highlight w:val="none"/>
                <w:lang w:val="en-US" w:eastAsia="zh-CN"/>
              </w:rPr>
              <w:t>7</w:t>
            </w:r>
            <w:r>
              <w:rPr>
                <w:rFonts w:hint="default" w:ascii="Times New Roman" w:hAnsi="Times New Roman" w:eastAsia="方正仿宋_GBK" w:cs="Times New Roman"/>
                <w:sz w:val="24"/>
                <w:szCs w:val="24"/>
                <w:highlight w:val="none"/>
              </w:rPr>
              <w:t>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6" w:hRule="atLeast"/>
          <w:jc w:val="center"/>
        </w:trPr>
        <w:tc>
          <w:tcPr>
            <w:tcW w:w="1257"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叶荣义</w:t>
            </w:r>
          </w:p>
        </w:tc>
        <w:tc>
          <w:tcPr>
            <w:tcW w:w="957"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监事</w:t>
            </w:r>
          </w:p>
        </w:tc>
        <w:tc>
          <w:tcPr>
            <w:tcW w:w="2658"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本行员工</w:t>
            </w:r>
          </w:p>
        </w:tc>
        <w:tc>
          <w:tcPr>
            <w:tcW w:w="843"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本科</w:t>
            </w:r>
          </w:p>
        </w:tc>
        <w:tc>
          <w:tcPr>
            <w:tcW w:w="976"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eastAsia="zh-CN"/>
              </w:rPr>
              <w:t>无</w:t>
            </w:r>
          </w:p>
        </w:tc>
        <w:tc>
          <w:tcPr>
            <w:tcW w:w="2281"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sz w:val="24"/>
                <w:szCs w:val="24"/>
                <w:highlight w:val="none"/>
              </w:rPr>
              <w:t>19</w:t>
            </w:r>
            <w:r>
              <w:rPr>
                <w:rFonts w:hint="default" w:ascii="Times New Roman" w:hAnsi="Times New Roman" w:eastAsia="方正仿宋_GBK" w:cs="Times New Roman"/>
                <w:sz w:val="24"/>
                <w:szCs w:val="24"/>
                <w:highlight w:val="none"/>
                <w:lang w:val="en-US" w:eastAsia="zh-CN"/>
              </w:rPr>
              <w:t>90</w:t>
            </w:r>
            <w:r>
              <w:rPr>
                <w:rFonts w:hint="default" w:ascii="Times New Roman" w:hAnsi="Times New Roman" w:eastAsia="方正仿宋_GBK" w:cs="Times New Roman"/>
                <w:sz w:val="24"/>
                <w:szCs w:val="24"/>
                <w:highlight w:val="none"/>
              </w:rPr>
              <w:t>年</w:t>
            </w:r>
            <w:r>
              <w:rPr>
                <w:rFonts w:hint="default" w:ascii="Times New Roman" w:hAnsi="Times New Roman" w:eastAsia="方正仿宋_GBK" w:cs="Times New Roman"/>
                <w:sz w:val="24"/>
                <w:szCs w:val="24"/>
                <w:highlight w:val="none"/>
                <w:lang w:val="en-US" w:eastAsia="zh-CN"/>
              </w:rPr>
              <w:t>7</w:t>
            </w:r>
            <w:r>
              <w:rPr>
                <w:rFonts w:hint="default" w:ascii="Times New Roman" w:hAnsi="Times New Roman" w:eastAsia="方正仿宋_GBK" w:cs="Times New Roman"/>
                <w:sz w:val="24"/>
                <w:szCs w:val="24"/>
                <w:highlight w:val="none"/>
              </w:rPr>
              <w:t>月</w:t>
            </w:r>
          </w:p>
        </w:tc>
      </w:tr>
    </w:tbl>
    <w:p>
      <w:pPr>
        <w:keepNext w:val="0"/>
        <w:keepLines w:val="0"/>
        <w:pageBreakBefore w:val="0"/>
        <w:widowControl/>
        <w:numPr>
          <w:ilvl w:val="0"/>
          <w:numId w:val="2"/>
        </w:numPr>
        <w:kinsoku/>
        <w:wordWrap/>
        <w:overflowPunct/>
        <w:topLinePunct w:val="0"/>
        <w:autoSpaceDE/>
        <w:autoSpaceDN/>
        <w:bidi w:val="0"/>
        <w:spacing w:line="580" w:lineRule="exact"/>
        <w:ind w:firstLine="640" w:firstLineChars="200"/>
        <w:outlineLvl w:val="0"/>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高级管理人员基本情况</w:t>
      </w:r>
    </w:p>
    <w:tbl>
      <w:tblPr>
        <w:tblStyle w:val="9"/>
        <w:tblW w:w="8852"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32"/>
        <w:gridCol w:w="965"/>
        <w:gridCol w:w="2800"/>
        <w:gridCol w:w="941"/>
        <w:gridCol w:w="1538"/>
        <w:gridCol w:w="1576"/>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724" w:hRule="atLeast"/>
          <w:jc w:val="center"/>
        </w:trPr>
        <w:tc>
          <w:tcPr>
            <w:tcW w:w="1032"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姓名</w:t>
            </w:r>
          </w:p>
          <w:p>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（性别）</w:t>
            </w:r>
          </w:p>
        </w:tc>
        <w:tc>
          <w:tcPr>
            <w:tcW w:w="965"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职务</w:t>
            </w:r>
          </w:p>
        </w:tc>
        <w:tc>
          <w:tcPr>
            <w:tcW w:w="2800"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学历/学位</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（院校名称）</w:t>
            </w:r>
          </w:p>
        </w:tc>
        <w:tc>
          <w:tcPr>
            <w:tcW w:w="941"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职称</w:t>
            </w:r>
          </w:p>
        </w:tc>
        <w:tc>
          <w:tcPr>
            <w:tcW w:w="1538"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出生时间</w:t>
            </w:r>
            <w:r>
              <w:rPr>
                <w:rFonts w:hint="default" w:ascii="Times New Roman" w:hAnsi="Times New Roman" w:eastAsia="方正仿宋_GBK" w:cs="Times New Roman"/>
                <w:b/>
                <w:color w:val="auto"/>
                <w:kern w:val="0"/>
                <w:sz w:val="24"/>
                <w:szCs w:val="24"/>
                <w:highlight w:val="none"/>
              </w:rPr>
              <w:br w:type="textWrapping"/>
            </w:r>
            <w:r>
              <w:rPr>
                <w:rFonts w:hint="default" w:ascii="Times New Roman" w:hAnsi="Times New Roman" w:eastAsia="方正仿宋_GBK" w:cs="Times New Roman"/>
                <w:b/>
                <w:color w:val="auto"/>
                <w:kern w:val="0"/>
                <w:sz w:val="24"/>
                <w:szCs w:val="24"/>
                <w:highlight w:val="none"/>
              </w:rPr>
              <w:t>（年/月）</w:t>
            </w:r>
          </w:p>
        </w:tc>
        <w:tc>
          <w:tcPr>
            <w:tcW w:w="1576"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任职时间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84" w:hRule="atLeast"/>
          <w:jc w:val="center"/>
        </w:trPr>
        <w:tc>
          <w:tcPr>
            <w:tcW w:w="1032"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eastAsia="zh-CN"/>
              </w:rPr>
              <w:t>王瑜</w:t>
            </w:r>
            <w:r>
              <w:rPr>
                <w:rFonts w:hint="default" w:ascii="Times New Roman" w:hAnsi="Times New Roman" w:eastAsia="方正仿宋_GBK" w:cs="Times New Roman"/>
                <w:color w:val="auto"/>
                <w:kern w:val="0"/>
                <w:sz w:val="24"/>
                <w:szCs w:val="24"/>
                <w:highlight w:val="none"/>
              </w:rPr>
              <w:t>(男)</w:t>
            </w:r>
          </w:p>
        </w:tc>
        <w:tc>
          <w:tcPr>
            <w:tcW w:w="965"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行长</w:t>
            </w:r>
          </w:p>
        </w:tc>
        <w:tc>
          <w:tcPr>
            <w:tcW w:w="2800"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硕士研究生</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仿宋_GB2312" w:cs="Times New Roman"/>
                <w:sz w:val="24"/>
                <w:szCs w:val="24"/>
                <w:highlight w:val="none"/>
              </w:rPr>
              <w:t>重庆大学</w:t>
            </w:r>
            <w:r>
              <w:rPr>
                <w:rFonts w:hint="default" w:ascii="Times New Roman" w:hAnsi="Times New Roman" w:eastAsia="方正仿宋_GBK" w:cs="Times New Roman"/>
                <w:color w:val="auto"/>
                <w:kern w:val="0"/>
                <w:sz w:val="24"/>
                <w:szCs w:val="24"/>
                <w:highlight w:val="none"/>
                <w:lang w:eastAsia="zh-CN"/>
              </w:rPr>
              <w:t>）</w:t>
            </w:r>
          </w:p>
        </w:tc>
        <w:tc>
          <w:tcPr>
            <w:tcW w:w="941"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仿宋_GB2312" w:cs="Times New Roman"/>
                <w:sz w:val="24"/>
                <w:szCs w:val="24"/>
                <w:highlight w:val="none"/>
              </w:rPr>
              <w:t>软件设计师</w:t>
            </w:r>
          </w:p>
        </w:tc>
        <w:tc>
          <w:tcPr>
            <w:tcW w:w="1538"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color w:val="auto"/>
                <w:kern w:val="0"/>
                <w:sz w:val="24"/>
                <w:szCs w:val="24"/>
                <w:highlight w:val="none"/>
                <w:lang w:eastAsia="zh-CN"/>
              </w:rPr>
            </w:pPr>
            <w:r>
              <w:rPr>
                <w:rFonts w:hint="default" w:ascii="Times New Roman" w:hAnsi="Times New Roman" w:eastAsia="仿宋_GB2312" w:cs="Times New Roman"/>
                <w:sz w:val="24"/>
                <w:szCs w:val="24"/>
                <w:highlight w:val="none"/>
              </w:rPr>
              <w:t>198</w:t>
            </w:r>
            <w:r>
              <w:rPr>
                <w:rFonts w:hint="default" w:ascii="Times New Roman" w:hAnsi="Times New Roman" w:eastAsia="仿宋_GB2312" w:cs="Times New Roman"/>
                <w:sz w:val="24"/>
                <w:szCs w:val="24"/>
                <w:highlight w:val="none"/>
                <w:lang w:val="en-US" w:eastAsia="zh-CN"/>
              </w:rPr>
              <w:t>3年</w:t>
            </w:r>
            <w:r>
              <w:rPr>
                <w:rFonts w:hint="default" w:ascii="Times New Roman" w:hAnsi="Times New Roman" w:eastAsia="仿宋_GB2312" w:cs="Times New Roman"/>
                <w:sz w:val="24"/>
                <w:szCs w:val="24"/>
                <w:highlight w:val="none"/>
              </w:rPr>
              <w:t>12</w:t>
            </w:r>
            <w:r>
              <w:rPr>
                <w:rFonts w:hint="default" w:ascii="Times New Roman" w:hAnsi="Times New Roman" w:eastAsia="仿宋_GB2312" w:cs="Times New Roman"/>
                <w:sz w:val="24"/>
                <w:szCs w:val="24"/>
                <w:highlight w:val="none"/>
                <w:lang w:eastAsia="zh-CN"/>
              </w:rPr>
              <w:t>月</w:t>
            </w:r>
          </w:p>
        </w:tc>
        <w:tc>
          <w:tcPr>
            <w:tcW w:w="1576"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2018年</w:t>
            </w:r>
            <w:r>
              <w:rPr>
                <w:rFonts w:hint="default" w:ascii="Times New Roman" w:hAnsi="Times New Roman" w:eastAsia="方正仿宋_GBK" w:cs="Times New Roman"/>
                <w:color w:val="auto"/>
                <w:kern w:val="0"/>
                <w:sz w:val="24"/>
                <w:szCs w:val="24"/>
                <w:highlight w:val="none"/>
                <w:lang w:val="en-US" w:eastAsia="zh-CN"/>
              </w:rPr>
              <w:t>9</w:t>
            </w:r>
            <w:r>
              <w:rPr>
                <w:rFonts w:hint="default" w:ascii="Times New Roman" w:hAnsi="Times New Roman" w:eastAsia="方正仿宋_GBK" w:cs="Times New Roman"/>
                <w:color w:val="auto"/>
                <w:kern w:val="0"/>
                <w:sz w:val="24"/>
                <w:szCs w:val="24"/>
                <w:highlight w:val="none"/>
              </w:rPr>
              <w:t>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84" w:hRule="atLeast"/>
          <w:jc w:val="center"/>
        </w:trPr>
        <w:tc>
          <w:tcPr>
            <w:tcW w:w="1032" w:type="dxa"/>
            <w:vAlign w:val="center"/>
          </w:tcPr>
          <w:p>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eastAsia="zh-CN"/>
              </w:rPr>
              <w:t>王剑英</w:t>
            </w:r>
            <w:r>
              <w:rPr>
                <w:rFonts w:hint="default" w:ascii="Times New Roman" w:hAnsi="Times New Roman" w:eastAsia="方正仿宋_GBK" w:cs="Times New Roman"/>
                <w:color w:val="auto"/>
                <w:kern w:val="0"/>
                <w:sz w:val="24"/>
                <w:szCs w:val="24"/>
                <w:highlight w:val="none"/>
              </w:rPr>
              <w:t>（男）</w:t>
            </w:r>
          </w:p>
        </w:tc>
        <w:tc>
          <w:tcPr>
            <w:tcW w:w="965"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副行长</w:t>
            </w:r>
          </w:p>
        </w:tc>
        <w:tc>
          <w:tcPr>
            <w:tcW w:w="2800"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eastAsia="zh-CN"/>
              </w:rPr>
              <w:t>大学</w:t>
            </w:r>
            <w:r>
              <w:rPr>
                <w:rFonts w:hint="default" w:ascii="Times New Roman" w:hAnsi="Times New Roman" w:eastAsia="方正仿宋_GBK" w:cs="Times New Roman"/>
                <w:color w:val="auto"/>
                <w:kern w:val="0"/>
                <w:sz w:val="24"/>
                <w:szCs w:val="24"/>
                <w:highlight w:val="none"/>
              </w:rPr>
              <w:t>本科</w:t>
            </w:r>
            <w:r>
              <w:rPr>
                <w:rFonts w:hint="default" w:ascii="Times New Roman" w:hAnsi="Times New Roman" w:eastAsia="方正仿宋_GBK" w:cs="Times New Roman"/>
                <w:color w:val="auto"/>
                <w:kern w:val="0"/>
                <w:sz w:val="24"/>
                <w:szCs w:val="24"/>
                <w:highlight w:val="none"/>
                <w:lang w:val="en-US" w:eastAsia="zh-CN"/>
              </w:rPr>
              <w:t>/学士学位</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福建农林大</w:t>
            </w:r>
            <w:r>
              <w:rPr>
                <w:rFonts w:hint="default" w:ascii="Times New Roman" w:hAnsi="Times New Roman" w:eastAsia="仿宋_GB2312" w:cs="Times New Roman"/>
                <w:sz w:val="24"/>
                <w:szCs w:val="24"/>
                <w:highlight w:val="none"/>
              </w:rPr>
              <w:t>学</w:t>
            </w:r>
            <w:r>
              <w:rPr>
                <w:rFonts w:hint="default" w:ascii="Times New Roman" w:hAnsi="Times New Roman" w:eastAsia="仿宋_GB2312" w:cs="Times New Roman"/>
                <w:sz w:val="24"/>
                <w:szCs w:val="24"/>
                <w:highlight w:val="none"/>
                <w:lang w:eastAsia="zh-CN"/>
              </w:rPr>
              <w:t>）</w:t>
            </w:r>
          </w:p>
        </w:tc>
        <w:tc>
          <w:tcPr>
            <w:tcW w:w="941"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经济师</w:t>
            </w:r>
          </w:p>
        </w:tc>
        <w:tc>
          <w:tcPr>
            <w:tcW w:w="1538"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1984年8月</w:t>
            </w:r>
          </w:p>
        </w:tc>
        <w:tc>
          <w:tcPr>
            <w:tcW w:w="1576"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2015年9月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84" w:hRule="atLeast"/>
          <w:jc w:val="center"/>
        </w:trPr>
        <w:tc>
          <w:tcPr>
            <w:tcW w:w="1032" w:type="dxa"/>
            <w:vAlign w:val="center"/>
          </w:tcPr>
          <w:p>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张振（男）</w:t>
            </w:r>
          </w:p>
        </w:tc>
        <w:tc>
          <w:tcPr>
            <w:tcW w:w="965"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副行长兼风险管理部经理</w:t>
            </w:r>
          </w:p>
        </w:tc>
        <w:tc>
          <w:tcPr>
            <w:tcW w:w="2800"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大学本科/学士学位</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lang w:eastAsia="zh-CN"/>
              </w:rPr>
              <w:t>重庆工学院）</w:t>
            </w:r>
          </w:p>
        </w:tc>
        <w:tc>
          <w:tcPr>
            <w:tcW w:w="941"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助理会计师</w:t>
            </w:r>
          </w:p>
        </w:tc>
        <w:tc>
          <w:tcPr>
            <w:tcW w:w="1538"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1980年8月</w:t>
            </w:r>
          </w:p>
        </w:tc>
        <w:tc>
          <w:tcPr>
            <w:tcW w:w="1576"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2018年1月</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484" w:hRule="atLeast"/>
          <w:jc w:val="center"/>
        </w:trPr>
        <w:tc>
          <w:tcPr>
            <w:tcW w:w="1032" w:type="dxa"/>
            <w:vAlign w:val="center"/>
          </w:tcPr>
          <w:p>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吴育彬（女）</w:t>
            </w:r>
          </w:p>
        </w:tc>
        <w:tc>
          <w:tcPr>
            <w:tcW w:w="965"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营运管理部经理</w:t>
            </w:r>
          </w:p>
        </w:tc>
        <w:tc>
          <w:tcPr>
            <w:tcW w:w="2800"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大学本科/学士学位</w:t>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w:t>
            </w:r>
            <w:r>
              <w:rPr>
                <w:rFonts w:hint="default" w:ascii="Times New Roman" w:hAnsi="Times New Roman" w:eastAsia="方正仿宋_GBK" w:cs="Times New Roman"/>
                <w:color w:val="auto"/>
                <w:kern w:val="0"/>
                <w:sz w:val="24"/>
                <w:szCs w:val="24"/>
                <w:highlight w:val="none"/>
                <w:lang w:eastAsia="zh-CN"/>
              </w:rPr>
              <w:t>福建师范大学协和学院）</w:t>
            </w:r>
          </w:p>
        </w:tc>
        <w:tc>
          <w:tcPr>
            <w:tcW w:w="941"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初级会计师、中级经济师</w:t>
            </w:r>
          </w:p>
        </w:tc>
        <w:tc>
          <w:tcPr>
            <w:tcW w:w="1538"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1986年6月</w:t>
            </w:r>
          </w:p>
        </w:tc>
        <w:tc>
          <w:tcPr>
            <w:tcW w:w="1576" w:type="dxa"/>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2021年6月</w:t>
            </w:r>
          </w:p>
        </w:tc>
      </w:tr>
    </w:tbl>
    <w:p>
      <w:pPr>
        <w:keepNext w:val="0"/>
        <w:keepLines w:val="0"/>
        <w:pageBreakBefore w:val="0"/>
        <w:widowControl/>
        <w:numPr>
          <w:ilvl w:val="0"/>
          <w:numId w:val="2"/>
        </w:numPr>
        <w:kinsoku/>
        <w:wordWrap/>
        <w:overflowPunct/>
        <w:topLinePunct w:val="0"/>
        <w:autoSpaceDE/>
        <w:autoSpaceDN/>
        <w:bidi w:val="0"/>
        <w:spacing w:line="580" w:lineRule="exact"/>
        <w:ind w:left="0" w:leftChars="0" w:firstLine="640" w:firstLineChars="200"/>
        <w:outlineLvl w:val="0"/>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员工情况</w:t>
      </w:r>
    </w:p>
    <w:tbl>
      <w:tblPr>
        <w:tblStyle w:val="9"/>
        <w:tblpPr w:leftFromText="180" w:rightFromText="180" w:vertAnchor="text" w:horzAnchor="page" w:tblpX="1560" w:tblpY="581"/>
        <w:tblOverlap w:val="never"/>
        <w:tblW w:w="88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420"/>
        <w:gridCol w:w="2340"/>
        <w:gridCol w:w="30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专业类别</w:t>
            </w:r>
          </w:p>
        </w:tc>
        <w:tc>
          <w:tcPr>
            <w:tcW w:w="234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员工人数</w:t>
            </w:r>
          </w:p>
        </w:tc>
        <w:tc>
          <w:tcPr>
            <w:tcW w:w="306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占员工总数的比例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bookmarkStart w:id="1" w:name="OLE_LINK1" w:colFirst="1" w:colLast="1"/>
            <w:r>
              <w:rPr>
                <w:rFonts w:hint="default" w:ascii="Times New Roman" w:hAnsi="Times New Roman" w:eastAsia="方正仿宋_GBK" w:cs="Times New Roman"/>
                <w:color w:val="auto"/>
                <w:kern w:val="0"/>
                <w:sz w:val="24"/>
                <w:szCs w:val="24"/>
                <w:highlight w:val="none"/>
              </w:rPr>
              <w:t>经营管理层</w:t>
            </w:r>
          </w:p>
        </w:tc>
        <w:tc>
          <w:tcPr>
            <w:tcW w:w="234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right="240"/>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val="en-US" w:eastAsia="zh-CN"/>
              </w:rPr>
              <w:t>7</w:t>
            </w:r>
          </w:p>
        </w:tc>
        <w:tc>
          <w:tcPr>
            <w:tcW w:w="306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right="480"/>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36.84%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业务发展部</w:t>
            </w:r>
          </w:p>
        </w:tc>
        <w:tc>
          <w:tcPr>
            <w:tcW w:w="234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right="120"/>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val="en-US" w:eastAsia="zh-CN"/>
              </w:rPr>
              <w:t>5</w:t>
            </w:r>
          </w:p>
        </w:tc>
        <w:tc>
          <w:tcPr>
            <w:tcW w:w="306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right="48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26.31%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风险管理部</w:t>
            </w:r>
          </w:p>
        </w:tc>
        <w:tc>
          <w:tcPr>
            <w:tcW w:w="234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right="360"/>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4</w:t>
            </w:r>
          </w:p>
        </w:tc>
        <w:tc>
          <w:tcPr>
            <w:tcW w:w="306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right="48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21.05%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综</w:t>
            </w:r>
            <w:r>
              <w:rPr>
                <w:rFonts w:hint="default" w:ascii="Times New Roman" w:hAnsi="Times New Roman" w:eastAsia="方正仿宋_GBK" w:cs="Times New Roman"/>
                <w:color w:val="auto"/>
                <w:kern w:val="0"/>
                <w:sz w:val="24"/>
                <w:szCs w:val="24"/>
                <w:highlight w:val="none"/>
                <w:lang w:eastAsia="zh-CN"/>
              </w:rPr>
              <w:t>合管理</w:t>
            </w:r>
            <w:r>
              <w:rPr>
                <w:rFonts w:hint="default" w:ascii="Times New Roman" w:hAnsi="Times New Roman" w:eastAsia="方正仿宋_GBK" w:cs="Times New Roman"/>
                <w:color w:val="auto"/>
                <w:kern w:val="0"/>
                <w:sz w:val="24"/>
                <w:szCs w:val="24"/>
                <w:highlight w:val="none"/>
              </w:rPr>
              <w:t>部</w:t>
            </w:r>
          </w:p>
        </w:tc>
        <w:tc>
          <w:tcPr>
            <w:tcW w:w="234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right="36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2</w:t>
            </w:r>
          </w:p>
        </w:tc>
        <w:tc>
          <w:tcPr>
            <w:tcW w:w="306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right="480" w:firstLine="720" w:firstLineChars="300"/>
              <w:jc w:val="both"/>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10.52%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营运管理部</w:t>
            </w:r>
          </w:p>
        </w:tc>
        <w:tc>
          <w:tcPr>
            <w:tcW w:w="234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right="480"/>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val="en-US" w:eastAsia="zh-CN"/>
              </w:rPr>
              <w:t>3</w:t>
            </w:r>
          </w:p>
        </w:tc>
        <w:tc>
          <w:tcPr>
            <w:tcW w:w="306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right="48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15.79%</w:t>
            </w:r>
          </w:p>
        </w:tc>
      </w:tr>
      <w:bookmarkEnd w:id="1"/>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营业部</w:t>
            </w:r>
          </w:p>
        </w:tc>
        <w:tc>
          <w:tcPr>
            <w:tcW w:w="234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right="480" w:rightChars="0"/>
              <w:jc w:val="center"/>
              <w:textAlignment w:val="auto"/>
              <w:rPr>
                <w:rFonts w:hint="default" w:ascii="Times New Roman" w:hAnsi="Times New Roman" w:eastAsia="方正仿宋_GBK" w:cs="Times New Roman"/>
                <w:color w:val="auto"/>
                <w:kern w:val="0"/>
                <w:sz w:val="24"/>
                <w:szCs w:val="24"/>
                <w:highlight w:val="none"/>
                <w:lang w:val="en-US"/>
              </w:rPr>
            </w:pPr>
            <w:r>
              <w:rPr>
                <w:rFonts w:hint="default" w:ascii="Times New Roman" w:hAnsi="Times New Roman" w:eastAsia="方正仿宋_GBK" w:cs="Times New Roman"/>
                <w:color w:val="auto"/>
                <w:kern w:val="0"/>
                <w:sz w:val="24"/>
                <w:szCs w:val="24"/>
                <w:highlight w:val="none"/>
                <w:lang w:val="en-US" w:eastAsia="zh-CN"/>
              </w:rPr>
              <w:t>3</w:t>
            </w:r>
          </w:p>
        </w:tc>
        <w:tc>
          <w:tcPr>
            <w:tcW w:w="306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right="480" w:right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val="en-US" w:eastAsia="zh-CN"/>
              </w:rPr>
              <w:t>15.79%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42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合计</w:t>
            </w:r>
          </w:p>
        </w:tc>
        <w:tc>
          <w:tcPr>
            <w:tcW w:w="234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right="480" w:rightChars="0"/>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19</w:t>
            </w:r>
          </w:p>
        </w:tc>
        <w:tc>
          <w:tcPr>
            <w:tcW w:w="306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right="480" w:rightChars="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100%</w:t>
            </w:r>
          </w:p>
        </w:tc>
      </w:tr>
    </w:tbl>
    <w:p>
      <w:pPr>
        <w:keepNext w:val="0"/>
        <w:keepLines w:val="0"/>
        <w:pageBreakBefore w:val="0"/>
        <w:widowControl/>
        <w:kinsoku/>
        <w:wordWrap/>
        <w:overflowPunct/>
        <w:topLinePunct w:val="0"/>
        <w:autoSpaceDE/>
        <w:autoSpaceDN/>
        <w:bidi w:val="0"/>
        <w:spacing w:line="580" w:lineRule="exact"/>
        <w:ind w:firstLine="643" w:firstLineChars="200"/>
        <w:jc w:val="left"/>
        <w:rPr>
          <w:rFonts w:hint="default" w:ascii="Times New Roman" w:hAnsi="Times New Roman" w:eastAsia="方正仿宋_GBK" w:cs="Times New Roman"/>
          <w:color w:val="auto"/>
          <w:kern w:val="0"/>
          <w:sz w:val="32"/>
          <w:szCs w:val="32"/>
        </w:rPr>
      </w:pPr>
      <w:r>
        <w:rPr>
          <w:rFonts w:hint="default" w:ascii="Times New Roman" w:hAnsi="Times New Roman" w:eastAsia="方正楷体_GBK" w:cs="Times New Roman"/>
          <w:b/>
          <w:bCs/>
          <w:color w:val="auto"/>
          <w:kern w:val="0"/>
          <w:sz w:val="32"/>
          <w:szCs w:val="32"/>
        </w:rPr>
        <w:t>（一）员工专业结构情况</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其中：</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1.经营管理层包括在本行任职的执行董事、行长、副行长、部门</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副</w:t>
      </w:r>
      <w:r>
        <w:rPr>
          <w:rFonts w:hint="default" w:ascii="Times New Roman" w:hAnsi="Times New Roman" w:eastAsia="方正仿宋_GBK" w:cs="Times New Roman"/>
          <w:color w:val="auto"/>
          <w:kern w:val="0"/>
          <w:sz w:val="32"/>
          <w:szCs w:val="32"/>
          <w:lang w:eastAsia="zh-CN"/>
        </w:rPr>
        <w:t>）</w:t>
      </w:r>
      <w:r>
        <w:rPr>
          <w:rFonts w:hint="default" w:ascii="Times New Roman" w:hAnsi="Times New Roman" w:eastAsia="方正仿宋_GBK" w:cs="Times New Roman"/>
          <w:color w:val="auto"/>
          <w:kern w:val="0"/>
          <w:sz w:val="32"/>
          <w:szCs w:val="32"/>
        </w:rPr>
        <w:t>经理</w:t>
      </w:r>
      <w:r>
        <w:rPr>
          <w:rFonts w:hint="default" w:ascii="Times New Roman" w:hAnsi="Times New Roman" w:eastAsia="方正仿宋_GBK" w:cs="Times New Roman"/>
          <w:color w:val="auto"/>
          <w:kern w:val="0"/>
          <w:sz w:val="32"/>
          <w:szCs w:val="32"/>
          <w:lang w:eastAsia="zh-CN"/>
        </w:rPr>
        <w:t>、营业机构（副）主任</w:t>
      </w:r>
      <w:r>
        <w:rPr>
          <w:rFonts w:hint="default" w:ascii="Times New Roman" w:hAnsi="Times New Roman" w:eastAsia="方正仿宋_GBK" w:cs="Times New Roman"/>
          <w:color w:val="auto"/>
          <w:kern w:val="0"/>
          <w:sz w:val="32"/>
          <w:szCs w:val="32"/>
        </w:rPr>
        <w:t>及以上行政职务人员；</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2.其他条线部门包括本条线相关人员。</w:t>
      </w:r>
    </w:p>
    <w:p>
      <w:pPr>
        <w:keepNext w:val="0"/>
        <w:keepLines w:val="0"/>
        <w:pageBreakBefore w:val="0"/>
        <w:widowControl/>
        <w:kinsoku/>
        <w:wordWrap/>
        <w:overflowPunct/>
        <w:topLinePunct w:val="0"/>
        <w:autoSpaceDE/>
        <w:autoSpaceDN/>
        <w:bidi w:val="0"/>
        <w:spacing w:line="580" w:lineRule="exact"/>
        <w:ind w:firstLine="643" w:firstLineChars="200"/>
        <w:jc w:val="left"/>
        <w:rPr>
          <w:rFonts w:hint="default" w:ascii="Times New Roman" w:hAnsi="Times New Roman" w:eastAsia="方正仿宋_GBK" w:cs="Times New Roman"/>
          <w:color w:val="auto"/>
          <w:kern w:val="0"/>
          <w:sz w:val="32"/>
          <w:szCs w:val="32"/>
        </w:rPr>
      </w:pPr>
      <w:r>
        <w:rPr>
          <w:rFonts w:hint="default" w:ascii="Times New Roman" w:hAnsi="Times New Roman" w:eastAsia="方正楷体_GBK" w:cs="Times New Roman"/>
          <w:b/>
          <w:bCs/>
          <w:color w:val="auto"/>
          <w:kern w:val="0"/>
          <w:sz w:val="32"/>
          <w:szCs w:val="32"/>
        </w:rPr>
        <w:t>（二）员工受教育程度</w:t>
      </w:r>
    </w:p>
    <w:tbl>
      <w:tblPr>
        <w:tblStyle w:val="9"/>
        <w:tblpPr w:leftFromText="180" w:rightFromText="180" w:vertAnchor="text" w:horzAnchor="page" w:tblpX="1576" w:tblpY="606"/>
        <w:tblOverlap w:val="never"/>
        <w:tblW w:w="882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960"/>
        <w:gridCol w:w="1980"/>
        <w:gridCol w:w="288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96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学历类别</w:t>
            </w:r>
          </w:p>
        </w:tc>
        <w:tc>
          <w:tcPr>
            <w:tcW w:w="198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员工人数</w:t>
            </w:r>
          </w:p>
        </w:tc>
        <w:tc>
          <w:tcPr>
            <w:tcW w:w="288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bCs/>
                <w:color w:val="auto"/>
                <w:kern w:val="0"/>
                <w:sz w:val="24"/>
                <w:szCs w:val="24"/>
              </w:rPr>
            </w:pPr>
            <w:r>
              <w:rPr>
                <w:rFonts w:hint="default" w:ascii="Times New Roman" w:hAnsi="Times New Roman" w:eastAsia="方正仿宋_GBK" w:cs="Times New Roman"/>
                <w:b/>
                <w:bCs/>
                <w:color w:val="auto"/>
                <w:kern w:val="0"/>
                <w:sz w:val="24"/>
                <w:szCs w:val="24"/>
              </w:rPr>
              <w:t>占员工总数的比例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96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本科及本科以上</w:t>
            </w:r>
          </w:p>
        </w:tc>
        <w:tc>
          <w:tcPr>
            <w:tcW w:w="198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tabs>
                <w:tab w:val="left" w:pos="569"/>
                <w:tab w:val="center" w:pos="863"/>
              </w:tabs>
              <w:kinsoku/>
              <w:wordWrap/>
              <w:overflowPunct/>
              <w:topLinePunct w:val="0"/>
              <w:autoSpaceDE/>
              <w:autoSpaceDN/>
              <w:bidi w:val="0"/>
              <w:adjustRightInd/>
              <w:snapToGrid/>
              <w:spacing w:line="500" w:lineRule="exact"/>
              <w:ind w:right="360"/>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16</w:t>
            </w:r>
          </w:p>
        </w:tc>
        <w:tc>
          <w:tcPr>
            <w:tcW w:w="288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right="120"/>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84.21%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96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大专</w:t>
            </w:r>
          </w:p>
        </w:tc>
        <w:tc>
          <w:tcPr>
            <w:tcW w:w="198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right="360"/>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3</w:t>
            </w:r>
          </w:p>
        </w:tc>
        <w:tc>
          <w:tcPr>
            <w:tcW w:w="288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right="360"/>
              <w:jc w:val="center"/>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15.79%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96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中专</w:t>
            </w:r>
          </w:p>
        </w:tc>
        <w:tc>
          <w:tcPr>
            <w:tcW w:w="198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720" w:firstLineChars="300"/>
              <w:jc w:val="both"/>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0</w:t>
            </w:r>
          </w:p>
        </w:tc>
        <w:tc>
          <w:tcPr>
            <w:tcW w:w="288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96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高中及其他</w:t>
            </w:r>
          </w:p>
        </w:tc>
        <w:tc>
          <w:tcPr>
            <w:tcW w:w="198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firstLine="720" w:firstLineChars="300"/>
              <w:jc w:val="both"/>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kern w:val="0"/>
                <w:sz w:val="24"/>
                <w:szCs w:val="24"/>
                <w:highlight w:val="none"/>
                <w:lang w:val="en-US" w:eastAsia="zh-CN"/>
              </w:rPr>
              <w:t>0</w:t>
            </w:r>
          </w:p>
        </w:tc>
        <w:tc>
          <w:tcPr>
            <w:tcW w:w="288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396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color w:val="auto"/>
                <w:kern w:val="0"/>
                <w:sz w:val="24"/>
                <w:szCs w:val="24"/>
              </w:rPr>
              <w:t>合计</w:t>
            </w:r>
          </w:p>
        </w:tc>
        <w:tc>
          <w:tcPr>
            <w:tcW w:w="1980"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right="600"/>
              <w:jc w:val="center"/>
              <w:textAlignment w:val="auto"/>
              <w:rPr>
                <w:rFonts w:hint="default" w:ascii="Times New Roman" w:hAnsi="Times New Roman" w:eastAsia="方正仿宋_GBK" w:cs="Times New Roman"/>
                <w:color w:val="auto"/>
                <w:kern w:val="0"/>
                <w:sz w:val="24"/>
                <w:szCs w:val="24"/>
                <w:highlight w:val="none"/>
                <w:lang w:val="en-US"/>
              </w:rPr>
            </w:pPr>
            <w:r>
              <w:rPr>
                <w:rFonts w:hint="default" w:ascii="Times New Roman" w:hAnsi="Times New Roman" w:eastAsia="方正仿宋_GBK" w:cs="Times New Roman"/>
                <w:color w:val="auto"/>
                <w:kern w:val="0"/>
                <w:sz w:val="24"/>
                <w:szCs w:val="24"/>
                <w:highlight w:val="none"/>
                <w:lang w:val="en-US" w:eastAsia="zh-CN"/>
              </w:rPr>
              <w:t>19</w:t>
            </w:r>
          </w:p>
        </w:tc>
        <w:tc>
          <w:tcPr>
            <w:tcW w:w="2888" w:type="dxa"/>
            <w:tcBorders>
              <w:top w:val="outset" w:color="auto" w:sz="6" w:space="0"/>
              <w:left w:val="outset" w:color="auto" w:sz="6" w:space="0"/>
              <w:bottom w:val="outset" w:color="auto" w:sz="6" w:space="0"/>
              <w:right w:val="outset"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00" w:lineRule="exact"/>
              <w:ind w:right="240"/>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100%</w:t>
            </w:r>
          </w:p>
        </w:tc>
      </w:tr>
    </w:tbl>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小标宋_GBK" w:cs="Times New Roman"/>
          <w:bCs/>
          <w:color w:val="auto"/>
          <w:kern w:val="0"/>
          <w:sz w:val="32"/>
          <w:szCs w:val="32"/>
          <w:highlight w:val="yellow"/>
        </w:rPr>
      </w:pPr>
      <w:r>
        <w:rPr>
          <w:rFonts w:hint="default" w:ascii="Times New Roman" w:hAnsi="Times New Roman" w:eastAsia="方正小标宋_GBK" w:cs="Times New Roman"/>
          <w:bCs/>
          <w:color w:val="auto"/>
          <w:kern w:val="0"/>
          <w:sz w:val="32"/>
          <w:szCs w:val="32"/>
          <w:highlight w:val="none"/>
        </w:rPr>
        <w:t>第五节  部门设置情况</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黑体_GBK" w:cs="Times New Roman"/>
          <w:bCs/>
          <w:color w:val="auto"/>
          <w:kern w:val="0"/>
          <w:sz w:val="32"/>
          <w:szCs w:val="32"/>
          <w:highlight w:val="none"/>
        </w:rPr>
      </w:pPr>
      <w:r>
        <w:rPr>
          <w:rFonts w:hint="default" w:ascii="Times New Roman" w:hAnsi="Times New Roman" w:eastAsia="方正黑体_GBK" w:cs="Times New Roman"/>
          <w:bCs/>
          <w:color w:val="auto"/>
          <w:kern w:val="0"/>
          <w:sz w:val="32"/>
          <w:szCs w:val="32"/>
          <w:highlight w:val="none"/>
        </w:rPr>
        <w:t>一、部门设置</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本行设置业务发展部、风险管理部、综合部、运营管理部和营业部五个部门。</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黑体_GBK" w:cs="Times New Roman"/>
          <w:bCs/>
          <w:color w:val="auto"/>
          <w:kern w:val="0"/>
          <w:sz w:val="32"/>
          <w:szCs w:val="32"/>
          <w:highlight w:val="none"/>
        </w:rPr>
      </w:pPr>
      <w:r>
        <w:rPr>
          <w:rFonts w:hint="default" w:ascii="Times New Roman" w:hAnsi="Times New Roman" w:eastAsia="方正黑体_GBK" w:cs="Times New Roman"/>
          <w:bCs/>
          <w:color w:val="auto"/>
          <w:kern w:val="0"/>
          <w:sz w:val="32"/>
          <w:szCs w:val="32"/>
          <w:highlight w:val="none"/>
        </w:rPr>
        <w:t>二、各部门职能</w:t>
      </w:r>
    </w:p>
    <w:tbl>
      <w:tblPr>
        <w:tblStyle w:val="9"/>
        <w:tblW w:w="8499" w:type="dxa"/>
        <w:tblInd w:w="2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6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235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部门名称</w:t>
            </w:r>
          </w:p>
        </w:tc>
        <w:tc>
          <w:tcPr>
            <w:tcW w:w="614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auto"/>
                <w:kern w:val="0"/>
                <w:sz w:val="24"/>
                <w:szCs w:val="24"/>
                <w:highlight w:val="none"/>
              </w:rPr>
            </w:pPr>
            <w:r>
              <w:rPr>
                <w:rFonts w:hint="default" w:ascii="Times New Roman" w:hAnsi="Times New Roman" w:eastAsia="方正仿宋_GBK" w:cs="Times New Roman"/>
                <w:b/>
                <w:color w:val="auto"/>
                <w:kern w:val="0"/>
                <w:sz w:val="24"/>
                <w:szCs w:val="24"/>
                <w:highlight w:val="none"/>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trPr>
        <w:tc>
          <w:tcPr>
            <w:tcW w:w="235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lang w:eastAsia="zh-CN"/>
              </w:rPr>
              <w:t>营运管理</w:t>
            </w:r>
            <w:r>
              <w:rPr>
                <w:rFonts w:hint="default" w:ascii="Times New Roman" w:hAnsi="Times New Roman" w:eastAsia="方正仿宋_GBK" w:cs="Times New Roman"/>
                <w:color w:val="auto"/>
                <w:kern w:val="0"/>
                <w:sz w:val="24"/>
                <w:szCs w:val="24"/>
                <w:highlight w:val="none"/>
              </w:rPr>
              <w:t>部</w:t>
            </w:r>
          </w:p>
        </w:tc>
        <w:tc>
          <w:tcPr>
            <w:tcW w:w="614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制度建设、</w:t>
            </w:r>
            <w:r>
              <w:rPr>
                <w:rFonts w:hint="default" w:ascii="Times New Roman" w:hAnsi="Times New Roman" w:eastAsia="方正仿宋_GBK" w:cs="Times New Roman"/>
                <w:color w:val="auto"/>
                <w:kern w:val="0"/>
                <w:sz w:val="24"/>
                <w:szCs w:val="24"/>
                <w:highlight w:val="none"/>
                <w:lang w:eastAsia="zh-CN"/>
              </w:rPr>
              <w:t>公司治理、</w:t>
            </w:r>
            <w:r>
              <w:rPr>
                <w:rFonts w:hint="default" w:ascii="Times New Roman" w:hAnsi="Times New Roman" w:eastAsia="方正仿宋_GBK" w:cs="Times New Roman"/>
                <w:color w:val="auto"/>
                <w:kern w:val="0"/>
                <w:sz w:val="24"/>
                <w:szCs w:val="24"/>
                <w:highlight w:val="none"/>
              </w:rPr>
              <w:t>会计结算管理、现金管理、资产负债管理、财务管理、</w:t>
            </w:r>
            <w:r>
              <w:rPr>
                <w:rFonts w:hint="default" w:ascii="Times New Roman" w:hAnsi="Times New Roman" w:eastAsia="方正仿宋_GBK" w:cs="Times New Roman"/>
                <w:color w:val="auto"/>
                <w:kern w:val="0"/>
                <w:sz w:val="24"/>
                <w:szCs w:val="24"/>
                <w:highlight w:val="none"/>
                <w:lang w:eastAsia="zh-CN"/>
              </w:rPr>
              <w:t>运行管理及</w:t>
            </w:r>
            <w:r>
              <w:rPr>
                <w:rFonts w:hint="default" w:ascii="Times New Roman" w:hAnsi="Times New Roman" w:eastAsia="方正仿宋_GBK" w:cs="Times New Roman"/>
                <w:color w:val="auto"/>
                <w:kern w:val="0"/>
                <w:sz w:val="24"/>
                <w:szCs w:val="24"/>
                <w:highlight w:val="none"/>
              </w:rPr>
              <w:t>其他等</w:t>
            </w:r>
            <w:r>
              <w:rPr>
                <w:rFonts w:hint="default" w:ascii="Times New Roman" w:hAnsi="Times New Roman" w:eastAsia="方正仿宋_GBK" w:cs="Times New Roman"/>
                <w:color w:val="auto"/>
                <w:kern w:val="0"/>
                <w:sz w:val="24"/>
                <w:szCs w:val="24"/>
                <w:highlight w:val="none"/>
                <w:lang w:val="en-US" w:eastAsia="zh-CN"/>
              </w:rPr>
              <w:t>八</w:t>
            </w:r>
            <w:r>
              <w:rPr>
                <w:rFonts w:hint="default" w:ascii="Times New Roman" w:hAnsi="Times New Roman" w:eastAsia="方正仿宋_GBK" w:cs="Times New Roman"/>
                <w:color w:val="auto"/>
                <w:kern w:val="0"/>
                <w:sz w:val="24"/>
                <w:szCs w:val="24"/>
                <w:highlight w:val="none"/>
              </w:rPr>
              <w:t>大职责</w:t>
            </w:r>
            <w:r>
              <w:rPr>
                <w:rFonts w:hint="default" w:ascii="Times New Roman" w:hAnsi="Times New Roman" w:eastAsia="方正仿宋_GBK" w:cs="Times New Roman"/>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1" w:hRule="atLeast"/>
        </w:trPr>
        <w:tc>
          <w:tcPr>
            <w:tcW w:w="235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lang w:eastAsia="zh-CN"/>
              </w:rPr>
            </w:pPr>
            <w:r>
              <w:rPr>
                <w:rFonts w:hint="default" w:ascii="Times New Roman" w:hAnsi="Times New Roman" w:eastAsia="方正仿宋_GBK" w:cs="Times New Roman"/>
                <w:color w:val="auto"/>
                <w:kern w:val="0"/>
                <w:sz w:val="24"/>
                <w:szCs w:val="24"/>
                <w:highlight w:val="none"/>
                <w:lang w:eastAsia="zh-CN"/>
              </w:rPr>
              <w:t>综合管理部</w:t>
            </w:r>
          </w:p>
        </w:tc>
        <w:tc>
          <w:tcPr>
            <w:tcW w:w="614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制度建设、综合管理、人力资源管理、薪酬管理、渠道管理</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rPr>
              <w:t>党群建设、计划考核管理</w:t>
            </w:r>
            <w:r>
              <w:rPr>
                <w:rFonts w:hint="default" w:ascii="Times New Roman" w:hAnsi="Times New Roman" w:eastAsia="方正仿宋_GBK" w:cs="Times New Roman"/>
                <w:color w:val="auto"/>
                <w:kern w:val="0"/>
                <w:sz w:val="24"/>
                <w:szCs w:val="24"/>
                <w:highlight w:val="none"/>
                <w:lang w:eastAsia="zh-CN"/>
              </w:rPr>
              <w:t>及</w:t>
            </w:r>
            <w:r>
              <w:rPr>
                <w:rFonts w:hint="default" w:ascii="Times New Roman" w:hAnsi="Times New Roman" w:eastAsia="方正仿宋_GBK" w:cs="Times New Roman"/>
                <w:color w:val="auto"/>
                <w:kern w:val="0"/>
                <w:sz w:val="24"/>
                <w:szCs w:val="24"/>
                <w:highlight w:val="none"/>
              </w:rPr>
              <w:t>其他等</w:t>
            </w:r>
            <w:r>
              <w:rPr>
                <w:rFonts w:hint="default" w:ascii="Times New Roman" w:hAnsi="Times New Roman" w:eastAsia="方正仿宋_GBK" w:cs="Times New Roman"/>
                <w:color w:val="auto"/>
                <w:kern w:val="0"/>
                <w:sz w:val="24"/>
                <w:szCs w:val="24"/>
                <w:highlight w:val="none"/>
                <w:lang w:val="en-US" w:eastAsia="zh-CN"/>
              </w:rPr>
              <w:t>八</w:t>
            </w:r>
            <w:r>
              <w:rPr>
                <w:rFonts w:hint="default" w:ascii="Times New Roman" w:hAnsi="Times New Roman" w:eastAsia="方正仿宋_GBK" w:cs="Times New Roman"/>
                <w:color w:val="auto"/>
                <w:kern w:val="0"/>
                <w:sz w:val="24"/>
                <w:szCs w:val="24"/>
                <w:highlight w:val="none"/>
              </w:rPr>
              <w:t>大职责。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54" w:hRule="atLeast"/>
        </w:trPr>
        <w:tc>
          <w:tcPr>
            <w:tcW w:w="235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风险管理部</w:t>
            </w:r>
          </w:p>
        </w:tc>
        <w:tc>
          <w:tcPr>
            <w:tcW w:w="614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制度建设、授信审查、出账审查、信贷管理、不良信贷资产管理、风险管理、合规管理、审计稽核、安全保卫、纪检监察、征信管理</w:t>
            </w:r>
            <w:r>
              <w:rPr>
                <w:rFonts w:hint="default" w:ascii="Times New Roman" w:hAnsi="Times New Roman" w:eastAsia="方正仿宋_GBK" w:cs="Times New Roman"/>
                <w:color w:val="auto"/>
                <w:kern w:val="0"/>
                <w:sz w:val="24"/>
                <w:szCs w:val="24"/>
                <w:highlight w:val="none"/>
                <w:lang w:eastAsia="zh-CN"/>
              </w:rPr>
              <w:t>、</w:t>
            </w:r>
            <w:r>
              <w:rPr>
                <w:rFonts w:hint="default" w:ascii="Times New Roman" w:hAnsi="Times New Roman" w:eastAsia="方正仿宋_GBK" w:cs="Times New Roman"/>
                <w:color w:val="auto"/>
                <w:kern w:val="0"/>
                <w:sz w:val="24"/>
                <w:szCs w:val="24"/>
                <w:highlight w:val="none"/>
                <w:lang w:val="en-US" w:eastAsia="zh-CN"/>
              </w:rPr>
              <w:t>押品管理、消费者权益保护、案防管理、关联交易及其他</w:t>
            </w:r>
            <w:r>
              <w:rPr>
                <w:rFonts w:hint="default" w:ascii="Times New Roman" w:hAnsi="Times New Roman" w:eastAsia="方正仿宋_GBK" w:cs="Times New Roman"/>
                <w:color w:val="auto"/>
                <w:kern w:val="0"/>
                <w:sz w:val="24"/>
                <w:szCs w:val="24"/>
                <w:highlight w:val="none"/>
              </w:rPr>
              <w:t>等十</w:t>
            </w:r>
            <w:r>
              <w:rPr>
                <w:rFonts w:hint="default" w:ascii="Times New Roman" w:hAnsi="Times New Roman" w:eastAsia="方正仿宋_GBK" w:cs="Times New Roman"/>
                <w:color w:val="auto"/>
                <w:kern w:val="0"/>
                <w:sz w:val="24"/>
                <w:szCs w:val="24"/>
                <w:highlight w:val="none"/>
                <w:lang w:val="en-US" w:eastAsia="zh-CN"/>
              </w:rPr>
              <w:t>六</w:t>
            </w:r>
            <w:r>
              <w:rPr>
                <w:rFonts w:hint="default" w:ascii="Times New Roman" w:hAnsi="Times New Roman" w:eastAsia="方正仿宋_GBK" w:cs="Times New Roman"/>
                <w:color w:val="auto"/>
                <w:kern w:val="0"/>
                <w:sz w:val="24"/>
                <w:szCs w:val="24"/>
                <w:highlight w:val="none"/>
              </w:rPr>
              <w:t>大职责。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21" w:hRule="atLeast"/>
        </w:trPr>
        <w:tc>
          <w:tcPr>
            <w:tcW w:w="235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业务发展部</w:t>
            </w:r>
          </w:p>
        </w:tc>
        <w:tc>
          <w:tcPr>
            <w:tcW w:w="614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目标客户、制度建设、条线考核、优质文明服务、营销管理、授信管理、团队管理、统计报送、征信</w:t>
            </w:r>
            <w:r>
              <w:rPr>
                <w:rFonts w:hint="default" w:ascii="Times New Roman" w:hAnsi="Times New Roman" w:eastAsia="方正仿宋_GBK" w:cs="Times New Roman"/>
                <w:color w:val="auto"/>
                <w:kern w:val="0"/>
                <w:sz w:val="24"/>
                <w:szCs w:val="24"/>
                <w:highlight w:val="none"/>
                <w:lang w:eastAsia="zh-CN"/>
              </w:rPr>
              <w:t>查询</w:t>
            </w:r>
            <w:r>
              <w:rPr>
                <w:rFonts w:hint="default" w:ascii="Times New Roman" w:hAnsi="Times New Roman" w:eastAsia="方正仿宋_GBK" w:cs="Times New Roman"/>
                <w:color w:val="auto"/>
                <w:kern w:val="0"/>
                <w:sz w:val="24"/>
                <w:szCs w:val="24"/>
                <w:highlight w:val="none"/>
              </w:rPr>
              <w:t>、其他等十大职责。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088" w:hRule="atLeast"/>
        </w:trPr>
        <w:tc>
          <w:tcPr>
            <w:tcW w:w="2355"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营业部</w:t>
            </w:r>
          </w:p>
        </w:tc>
        <w:tc>
          <w:tcPr>
            <w:tcW w:w="614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目标客户、制度建设、业务营销及管理、内部规范管理、其它等五大职责。</w:t>
            </w:r>
          </w:p>
        </w:tc>
      </w:tr>
    </w:tbl>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小标宋_GBK" w:cs="Times New Roman"/>
          <w:bCs/>
          <w:color w:val="auto"/>
          <w:kern w:val="0"/>
          <w:sz w:val="32"/>
          <w:szCs w:val="32"/>
        </w:rPr>
      </w:pPr>
      <w:r>
        <w:rPr>
          <w:rFonts w:hint="default" w:ascii="Times New Roman" w:hAnsi="Times New Roman" w:eastAsia="方正小标宋_GBK" w:cs="Times New Roman"/>
          <w:bCs/>
          <w:color w:val="auto"/>
          <w:kern w:val="0"/>
          <w:sz w:val="32"/>
          <w:szCs w:val="32"/>
        </w:rPr>
        <w:t>第六节</w:t>
      </w:r>
      <w:r>
        <w:rPr>
          <w:rFonts w:hint="default" w:ascii="Times New Roman" w:hAnsi="Times New Roman" w:eastAsia="方正小标宋_GBK" w:cs="Times New Roman"/>
          <w:bCs/>
          <w:color w:val="auto"/>
          <w:kern w:val="0"/>
          <w:sz w:val="32"/>
          <w:szCs w:val="32"/>
          <w:lang w:val="en-US" w:eastAsia="zh-CN"/>
        </w:rPr>
        <w:t xml:space="preserve"> </w:t>
      </w:r>
      <w:r>
        <w:rPr>
          <w:rFonts w:hint="default" w:ascii="Times New Roman" w:hAnsi="Times New Roman" w:eastAsia="方正小标宋_GBK" w:cs="Times New Roman"/>
          <w:bCs/>
          <w:color w:val="auto"/>
          <w:kern w:val="0"/>
          <w:sz w:val="32"/>
          <w:szCs w:val="32"/>
        </w:rPr>
        <w:t>公司治理情况</w:t>
      </w:r>
    </w:p>
    <w:p>
      <w:pPr>
        <w:keepNext w:val="0"/>
        <w:keepLines w:val="0"/>
        <w:pageBreakBefore w:val="0"/>
        <w:widowControl/>
        <w:kinsoku/>
        <w:wordWrap/>
        <w:overflowPunct/>
        <w:topLinePunct w:val="0"/>
        <w:autoSpaceDE/>
        <w:autoSpaceDN/>
        <w:bidi w:val="0"/>
        <w:spacing w:line="580" w:lineRule="exact"/>
        <w:ind w:firstLine="796" w:firstLineChars="249"/>
        <w:jc w:val="left"/>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一、公司组织机构</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本公司设立了股东会、执行董事、监事会并制定了相应的议事规则和工作规程。报告期内，本公司严格按照《中华人民共和国公司法》（以下简称《公司法》、《中华人民共和国商业银行法》（以下简称《商业银行法》）等相关法律法规，结合本公司实际情况，不断完善治理结构，提高信息透明度，保护存款人利益，为股东创造价值，勇于承担社会责任。</w:t>
      </w:r>
    </w:p>
    <w:p>
      <w:pPr>
        <w:keepNext w:val="0"/>
        <w:keepLines w:val="0"/>
        <w:pageBreakBefore w:val="0"/>
        <w:widowControl/>
        <w:kinsoku/>
        <w:wordWrap/>
        <w:overflowPunct/>
        <w:topLinePunct w:val="0"/>
        <w:autoSpaceDE/>
        <w:autoSpaceDN/>
        <w:bidi w:val="0"/>
        <w:spacing w:line="580" w:lineRule="exact"/>
        <w:ind w:firstLine="796" w:firstLineChars="249"/>
        <w:jc w:val="left"/>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二、股东会、执行董事和监事会职能</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本公司股东会、执行董事、监事会均能按照有关法律、法规和公司章程的规定及议事规则、工作规程独立有效运作。</w:t>
      </w:r>
    </w:p>
    <w:p>
      <w:pPr>
        <w:keepNext w:val="0"/>
        <w:keepLines w:val="0"/>
        <w:pageBreakBefore w:val="0"/>
        <w:numPr>
          <w:ilvl w:val="0"/>
          <w:numId w:val="3"/>
        </w:numPr>
        <w:kinsoku/>
        <w:wordWrap/>
        <w:overflowPunct/>
        <w:topLinePunct w:val="0"/>
        <w:autoSpaceDE/>
        <w:autoSpaceDN/>
        <w:bidi w:val="0"/>
        <w:spacing w:line="580" w:lineRule="exact"/>
        <w:ind w:firstLine="643" w:firstLineChars="200"/>
        <w:rPr>
          <w:rFonts w:hint="default" w:ascii="Times New Roman" w:hAnsi="Times New Roman" w:eastAsia="方正楷体_GBK" w:cs="Times New Roman"/>
          <w:b/>
          <w:bCs/>
          <w:color w:val="auto"/>
          <w:kern w:val="0"/>
          <w:sz w:val="32"/>
          <w:szCs w:val="32"/>
        </w:rPr>
      </w:pPr>
      <w:r>
        <w:rPr>
          <w:rFonts w:hint="default" w:ascii="Times New Roman" w:hAnsi="Times New Roman" w:eastAsia="方正楷体_GBK" w:cs="Times New Roman"/>
          <w:b/>
          <w:bCs/>
          <w:color w:val="auto"/>
          <w:kern w:val="0"/>
          <w:sz w:val="32"/>
          <w:szCs w:val="32"/>
        </w:rPr>
        <w:t>股东会</w:t>
      </w:r>
    </w:p>
    <w:p>
      <w:pPr>
        <w:keepNext w:val="0"/>
        <w:keepLines w:val="0"/>
        <w:pageBreakBefore w:val="0"/>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rPr>
      </w:pPr>
      <w:r>
        <w:rPr>
          <w:rFonts w:hint="default" w:ascii="Times New Roman" w:hAnsi="Times New Roman" w:eastAsia="方正仿宋_GBK" w:cs="Times New Roman"/>
          <w:color w:val="auto"/>
          <w:kern w:val="0"/>
          <w:sz w:val="32"/>
          <w:szCs w:val="32"/>
        </w:rPr>
        <w:t>本公司股东会的职能和权力包括但不限于以下几个方面：</w:t>
      </w:r>
    </w:p>
    <w:p>
      <w:pPr>
        <w:pStyle w:val="14"/>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1.</w:t>
      </w:r>
      <w:r>
        <w:rPr>
          <w:rFonts w:hint="default" w:ascii="Times New Roman" w:hAnsi="Times New Roman" w:eastAsia="方正仿宋_GBK" w:cs="Times New Roman"/>
          <w:color w:val="auto"/>
          <w:sz w:val="32"/>
          <w:szCs w:val="32"/>
          <w:highlight w:val="none"/>
          <w:u w:val="none"/>
        </w:rPr>
        <w:t>决定本行的经营方针和投资计划；</w:t>
      </w:r>
    </w:p>
    <w:p>
      <w:pPr>
        <w:pStyle w:val="14"/>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2.</w:t>
      </w:r>
      <w:r>
        <w:rPr>
          <w:rFonts w:hint="default" w:ascii="Times New Roman" w:hAnsi="Times New Roman" w:eastAsia="方正仿宋_GBK" w:cs="Times New Roman"/>
          <w:color w:val="auto"/>
          <w:sz w:val="32"/>
          <w:szCs w:val="32"/>
          <w:highlight w:val="none"/>
          <w:u w:val="none"/>
        </w:rPr>
        <w:t>选举和罢免执行董事、监事，决定其报酬事项；</w:t>
      </w:r>
    </w:p>
    <w:p>
      <w:pPr>
        <w:pStyle w:val="14"/>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3.</w:t>
      </w:r>
      <w:r>
        <w:rPr>
          <w:rFonts w:hint="default" w:ascii="Times New Roman" w:hAnsi="Times New Roman" w:eastAsia="方正仿宋_GBK" w:cs="Times New Roman"/>
          <w:color w:val="auto"/>
          <w:sz w:val="32"/>
          <w:szCs w:val="32"/>
          <w:highlight w:val="none"/>
          <w:u w:val="none"/>
        </w:rPr>
        <w:t>审议批准执行董事报告；</w:t>
      </w:r>
    </w:p>
    <w:p>
      <w:pPr>
        <w:pStyle w:val="14"/>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4.</w:t>
      </w:r>
      <w:r>
        <w:rPr>
          <w:rFonts w:hint="default" w:ascii="Times New Roman" w:hAnsi="Times New Roman" w:eastAsia="方正仿宋_GBK" w:cs="Times New Roman"/>
          <w:color w:val="auto"/>
          <w:sz w:val="32"/>
          <w:szCs w:val="32"/>
          <w:highlight w:val="none"/>
          <w:u w:val="none"/>
        </w:rPr>
        <w:t>审议批准监事会报告；</w:t>
      </w:r>
    </w:p>
    <w:p>
      <w:pPr>
        <w:pStyle w:val="14"/>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5.</w:t>
      </w:r>
      <w:r>
        <w:rPr>
          <w:rFonts w:hint="default" w:ascii="Times New Roman" w:hAnsi="Times New Roman" w:eastAsia="方正仿宋_GBK" w:cs="Times New Roman"/>
          <w:color w:val="auto"/>
          <w:sz w:val="32"/>
          <w:szCs w:val="32"/>
          <w:highlight w:val="none"/>
          <w:u w:val="none"/>
        </w:rPr>
        <w:t>审议批准本行的年度财务预算方案、决算方案；</w:t>
      </w:r>
    </w:p>
    <w:p>
      <w:pPr>
        <w:pStyle w:val="14"/>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6.</w:t>
      </w:r>
      <w:r>
        <w:rPr>
          <w:rFonts w:hint="default" w:ascii="Times New Roman" w:hAnsi="Times New Roman" w:eastAsia="方正仿宋_GBK" w:cs="Times New Roman"/>
          <w:color w:val="auto"/>
          <w:sz w:val="32"/>
          <w:szCs w:val="32"/>
          <w:highlight w:val="none"/>
          <w:u w:val="none"/>
        </w:rPr>
        <w:t>审议批准本行的利润分配方案和亏损弥补方案；</w:t>
      </w:r>
    </w:p>
    <w:p>
      <w:pPr>
        <w:pStyle w:val="14"/>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7.</w:t>
      </w:r>
      <w:r>
        <w:rPr>
          <w:rFonts w:hint="default" w:ascii="Times New Roman" w:hAnsi="Times New Roman" w:eastAsia="方正仿宋_GBK" w:cs="Times New Roman"/>
          <w:color w:val="auto"/>
          <w:sz w:val="32"/>
          <w:szCs w:val="32"/>
          <w:highlight w:val="none"/>
          <w:u w:val="none"/>
        </w:rPr>
        <w:t>对本行增加或者减少注册资本做出决议；</w:t>
      </w:r>
    </w:p>
    <w:p>
      <w:pPr>
        <w:pStyle w:val="14"/>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8.</w:t>
      </w:r>
      <w:r>
        <w:rPr>
          <w:rFonts w:hint="default" w:ascii="Times New Roman" w:hAnsi="Times New Roman" w:eastAsia="方正仿宋_GBK" w:cs="Times New Roman"/>
          <w:color w:val="auto"/>
          <w:sz w:val="32"/>
          <w:szCs w:val="32"/>
          <w:highlight w:val="none"/>
          <w:u w:val="none"/>
        </w:rPr>
        <w:t>对本行投资及并购出资做出决议；</w:t>
      </w:r>
    </w:p>
    <w:p>
      <w:pPr>
        <w:pStyle w:val="14"/>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9.</w:t>
      </w:r>
      <w:r>
        <w:rPr>
          <w:rFonts w:hint="default" w:ascii="Times New Roman" w:hAnsi="Times New Roman" w:eastAsia="方正仿宋_GBK" w:cs="Times New Roman"/>
          <w:color w:val="auto"/>
          <w:sz w:val="32"/>
          <w:szCs w:val="32"/>
          <w:highlight w:val="none"/>
          <w:u w:val="none"/>
        </w:rPr>
        <w:t>审议批准本行重大股权投资事项；</w:t>
      </w:r>
    </w:p>
    <w:p>
      <w:pPr>
        <w:pStyle w:val="14"/>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10.</w:t>
      </w:r>
      <w:r>
        <w:rPr>
          <w:rFonts w:hint="default" w:ascii="Times New Roman" w:hAnsi="Times New Roman" w:eastAsia="方正仿宋_GBK" w:cs="Times New Roman"/>
          <w:color w:val="auto"/>
          <w:sz w:val="32"/>
          <w:szCs w:val="32"/>
          <w:highlight w:val="none"/>
          <w:u w:val="none"/>
        </w:rPr>
        <w:t>对发行本行债券做出决议；</w:t>
      </w:r>
    </w:p>
    <w:p>
      <w:pPr>
        <w:pStyle w:val="14"/>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11.</w:t>
      </w:r>
      <w:r>
        <w:rPr>
          <w:rFonts w:hint="default" w:ascii="Times New Roman" w:hAnsi="Times New Roman" w:eastAsia="方正仿宋_GBK" w:cs="Times New Roman"/>
          <w:color w:val="auto"/>
          <w:sz w:val="32"/>
          <w:szCs w:val="32"/>
          <w:highlight w:val="none"/>
          <w:u w:val="none"/>
        </w:rPr>
        <w:t>对本行合并、分立、解散、清算或变更公司形式等事项做出决议；</w:t>
      </w:r>
    </w:p>
    <w:p>
      <w:pPr>
        <w:pStyle w:val="14"/>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12.</w:t>
      </w:r>
      <w:r>
        <w:rPr>
          <w:rFonts w:hint="default" w:ascii="Times New Roman" w:hAnsi="Times New Roman" w:eastAsia="方正仿宋_GBK" w:cs="Times New Roman"/>
          <w:color w:val="auto"/>
          <w:sz w:val="32"/>
          <w:szCs w:val="32"/>
          <w:highlight w:val="none"/>
          <w:u w:val="none"/>
        </w:rPr>
        <w:t>修订本章程；</w:t>
      </w:r>
    </w:p>
    <w:p>
      <w:pPr>
        <w:pStyle w:val="14"/>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13.</w:t>
      </w:r>
      <w:r>
        <w:rPr>
          <w:rFonts w:hint="default" w:ascii="Times New Roman" w:hAnsi="Times New Roman" w:eastAsia="方正仿宋_GBK" w:cs="Times New Roman"/>
          <w:color w:val="auto"/>
          <w:sz w:val="32"/>
          <w:szCs w:val="32"/>
          <w:highlight w:val="none"/>
          <w:u w:val="none"/>
        </w:rPr>
        <w:t>审议股东会提案；</w:t>
      </w:r>
    </w:p>
    <w:p>
      <w:pPr>
        <w:pStyle w:val="14"/>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14.</w:t>
      </w:r>
      <w:r>
        <w:rPr>
          <w:rFonts w:hint="default" w:ascii="Times New Roman" w:hAnsi="Times New Roman" w:eastAsia="方正仿宋_GBK" w:cs="Times New Roman"/>
          <w:color w:val="auto"/>
          <w:sz w:val="32"/>
          <w:szCs w:val="32"/>
          <w:highlight w:val="none"/>
          <w:u w:val="none"/>
        </w:rPr>
        <w:t>决定聘请或解聘为本行审计的会计师事务所；</w:t>
      </w:r>
    </w:p>
    <w:p>
      <w:pPr>
        <w:pStyle w:val="14"/>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lang w:val="en-US" w:eastAsia="zh-CN"/>
        </w:rPr>
        <w:t>15.</w:t>
      </w:r>
      <w:r>
        <w:rPr>
          <w:rFonts w:hint="default" w:ascii="Times New Roman" w:hAnsi="Times New Roman" w:eastAsia="方正仿宋_GBK" w:cs="Times New Roman"/>
          <w:color w:val="auto"/>
          <w:sz w:val="32"/>
          <w:szCs w:val="32"/>
          <w:highlight w:val="none"/>
          <w:u w:val="none"/>
        </w:rPr>
        <w:t>审议法律、行政法规、规章和规范性文件规定应当由股东会决定的其他事项。</w:t>
      </w:r>
    </w:p>
    <w:p>
      <w:pPr>
        <w:pStyle w:val="14"/>
        <w:keepNext w:val="0"/>
        <w:keepLines w:val="0"/>
        <w:pageBreakBefore w:val="0"/>
        <w:shd w:val="clear" w:color="auto" w:fill="FFFFFF"/>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股东会决议不得违反法律、行政法规、规章、规范性文件和本章程的规定。</w:t>
      </w:r>
    </w:p>
    <w:p>
      <w:pPr>
        <w:pStyle w:val="14"/>
        <w:keepNext w:val="0"/>
        <w:keepLines w:val="0"/>
        <w:pageBreakBefore w:val="0"/>
        <w:kinsoku/>
        <w:wordWrap/>
        <w:overflowPunct/>
        <w:topLinePunct w:val="0"/>
        <w:autoSpaceDE/>
        <w:autoSpaceDN/>
        <w:bidi w:val="0"/>
        <w:spacing w:line="580" w:lineRule="exact"/>
        <w:ind w:firstLine="640"/>
        <w:rPr>
          <w:rFonts w:hint="default" w:ascii="Times New Roman" w:hAnsi="Times New Roman" w:eastAsia="方正仿宋_GBK" w:cs="Times New Roman"/>
          <w:color w:val="auto"/>
          <w:sz w:val="32"/>
          <w:szCs w:val="32"/>
          <w:highlight w:val="none"/>
          <w:u w:val="none"/>
        </w:rPr>
      </w:pPr>
      <w:r>
        <w:rPr>
          <w:rFonts w:hint="default" w:ascii="Times New Roman" w:hAnsi="Times New Roman" w:eastAsia="方正仿宋_GBK" w:cs="Times New Roman"/>
          <w:color w:val="auto"/>
          <w:sz w:val="32"/>
          <w:szCs w:val="32"/>
          <w:highlight w:val="none"/>
          <w:u w:val="none"/>
        </w:rPr>
        <w:t>对前款所列事项股东以书面形式一致表示同意的，可以不召开股东会会议，直接作出决定，并由全体股东在决定文件上签名、盖章。</w:t>
      </w:r>
    </w:p>
    <w:p>
      <w:pPr>
        <w:keepNext w:val="0"/>
        <w:keepLines w:val="0"/>
        <w:pageBreakBefore w:val="0"/>
        <w:numPr>
          <w:ilvl w:val="0"/>
          <w:numId w:val="3"/>
        </w:numPr>
        <w:kinsoku/>
        <w:wordWrap/>
        <w:overflowPunct/>
        <w:topLinePunct w:val="0"/>
        <w:autoSpaceDE/>
        <w:autoSpaceDN/>
        <w:bidi w:val="0"/>
        <w:spacing w:line="580" w:lineRule="exact"/>
        <w:ind w:firstLine="643" w:firstLineChars="200"/>
        <w:rPr>
          <w:rFonts w:hint="default" w:ascii="Times New Roman" w:hAnsi="Times New Roman" w:eastAsia="方正楷体_GBK" w:cs="Times New Roman"/>
          <w:b/>
          <w:bCs/>
          <w:color w:val="auto"/>
          <w:kern w:val="0"/>
          <w:sz w:val="32"/>
          <w:szCs w:val="32"/>
        </w:rPr>
      </w:pPr>
      <w:r>
        <w:rPr>
          <w:rFonts w:hint="default" w:ascii="Times New Roman" w:hAnsi="Times New Roman" w:eastAsia="方正楷体_GBK" w:cs="Times New Roman"/>
          <w:b/>
          <w:bCs/>
          <w:color w:val="auto"/>
          <w:kern w:val="0"/>
          <w:sz w:val="32"/>
          <w:szCs w:val="32"/>
        </w:rPr>
        <w:t>执行董事</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本公司执行董事的工作职责包括但不限于以下几个方面：</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1.召集和主持股东会，并向股东会报告工作；</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2.执行股东会的决议；</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3.决定本行的经营计划，确定本行的经营发展战略；</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4.制订本行的年度财务预算方案、决算方案、利润分配方案、弥补亏损方案和风险资本分配方案，</w:t>
      </w:r>
      <w:r>
        <w:rPr>
          <w:rFonts w:hint="default" w:ascii="Times New Roman" w:hAnsi="Times New Roman" w:eastAsia="方正仿宋_GBK" w:cs="Times New Roman"/>
          <w:color w:val="auto"/>
          <w:sz w:val="32"/>
          <w:szCs w:val="32"/>
        </w:rPr>
        <w:t>根据资本与业务发展匹配状况，合理持续补充资本；</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5.制订本行增加或者减少注册资本方案；</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6.制订本行合并、分立、解散、清算或变更公司形式的方案；</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7.决定本行内部管理机构；</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8.决定聘任或者解聘本行高级管理层人员；</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9.审定本行的基本管理制度；</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10.监督本行高级管理层的履职情况，</w:t>
      </w:r>
      <w:r>
        <w:rPr>
          <w:rFonts w:hint="default" w:ascii="Times New Roman" w:hAnsi="Times New Roman" w:eastAsia="方正仿宋_GBK" w:cs="Times New Roman"/>
          <w:color w:val="auto"/>
          <w:sz w:val="32"/>
          <w:szCs w:val="32"/>
        </w:rPr>
        <w:t>要求高级管理层定期报告经营事项，</w:t>
      </w:r>
      <w:r>
        <w:rPr>
          <w:rFonts w:hint="default" w:ascii="Times New Roman" w:hAnsi="Times New Roman" w:eastAsia="方正仿宋_GBK" w:cs="Times New Roman"/>
          <w:color w:val="auto"/>
          <w:kern w:val="0"/>
          <w:sz w:val="32"/>
          <w:szCs w:val="32"/>
        </w:rPr>
        <w:t>并对经营状况进行评估，确保高级管理层有效履行管理职责；</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11.决定本行的风险管理和内部控制政策，</w:t>
      </w:r>
      <w:r>
        <w:rPr>
          <w:rFonts w:hint="default" w:ascii="Times New Roman" w:hAnsi="Times New Roman" w:eastAsia="方正仿宋_GBK" w:cs="Times New Roman"/>
          <w:color w:val="auto"/>
          <w:sz w:val="32"/>
          <w:szCs w:val="32"/>
        </w:rPr>
        <w:t>定期评估风险状况，确定风险限额</w:t>
      </w:r>
      <w:r>
        <w:rPr>
          <w:rFonts w:hint="default" w:ascii="Times New Roman" w:hAnsi="Times New Roman" w:eastAsia="方正仿宋_GBK" w:cs="Times New Roman"/>
          <w:color w:val="auto"/>
          <w:kern w:val="0"/>
          <w:sz w:val="32"/>
          <w:szCs w:val="32"/>
        </w:rPr>
        <w:t>；</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12.管理本行的信息披露，并对本行的会计和财务报告体系的完整性、准确性承担最终责任；</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13.负责定期评估并完善本行的公司治理状况；</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14.拟订本行回购</w:t>
      </w:r>
      <w:r>
        <w:rPr>
          <w:rFonts w:hint="default" w:ascii="Times New Roman" w:hAnsi="Times New Roman" w:eastAsia="方正仿宋_GBK" w:cs="Times New Roman"/>
          <w:color w:val="auto"/>
          <w:sz w:val="32"/>
          <w:szCs w:val="32"/>
        </w:rPr>
        <w:t>股权</w:t>
      </w:r>
      <w:r>
        <w:rPr>
          <w:rFonts w:hint="default" w:ascii="Times New Roman" w:hAnsi="Times New Roman" w:eastAsia="方正仿宋_GBK" w:cs="Times New Roman"/>
          <w:color w:val="auto"/>
          <w:kern w:val="0"/>
          <w:sz w:val="32"/>
          <w:szCs w:val="32"/>
        </w:rPr>
        <w:t>方案；</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15.制订本行公司章程的修改方案；</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16.修订本行股东会议事规则和制定行长工作细则；</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17.在授权范围内签署文件；</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18.在发生特大自然灾害等不可抗力的紧急情况下，对本行事务行使符合法律规定和本行利益的特别处置权，并在事后向本行股东会报告；</w:t>
      </w:r>
    </w:p>
    <w:p>
      <w:pPr>
        <w:keepNext w:val="0"/>
        <w:keepLines w:val="0"/>
        <w:pageBreakBefore w:val="0"/>
        <w:kinsoku/>
        <w:wordWrap/>
        <w:overflowPunct/>
        <w:topLinePunct w:val="0"/>
        <w:autoSpaceDE/>
        <w:autoSpaceDN/>
        <w:bidi w:val="0"/>
        <w:spacing w:line="580" w:lineRule="exact"/>
        <w:ind w:firstLine="555"/>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19.法律法规、行政规章、</w:t>
      </w:r>
      <w:r>
        <w:rPr>
          <w:rFonts w:hint="default" w:ascii="Times New Roman" w:hAnsi="Times New Roman" w:eastAsia="方正仿宋_GBK" w:cs="Times New Roman"/>
          <w:color w:val="auto"/>
          <w:kern w:val="0"/>
          <w:sz w:val="32"/>
          <w:szCs w:val="32"/>
          <w:lang w:eastAsia="zh-CN"/>
        </w:rPr>
        <w:t>公司</w:t>
      </w:r>
      <w:r>
        <w:rPr>
          <w:rFonts w:hint="default" w:ascii="Times New Roman" w:hAnsi="Times New Roman" w:eastAsia="方正仿宋_GBK" w:cs="Times New Roman"/>
          <w:color w:val="auto"/>
          <w:kern w:val="0"/>
          <w:sz w:val="32"/>
          <w:szCs w:val="32"/>
        </w:rPr>
        <w:t>章程规定的及本行股东会授予的其他职权。</w:t>
      </w:r>
    </w:p>
    <w:p>
      <w:pPr>
        <w:keepNext w:val="0"/>
        <w:keepLines w:val="0"/>
        <w:pageBreakBefore w:val="0"/>
        <w:numPr>
          <w:ilvl w:val="0"/>
          <w:numId w:val="3"/>
        </w:numPr>
        <w:kinsoku/>
        <w:wordWrap/>
        <w:overflowPunct/>
        <w:topLinePunct w:val="0"/>
        <w:autoSpaceDE/>
        <w:autoSpaceDN/>
        <w:bidi w:val="0"/>
        <w:spacing w:line="580" w:lineRule="exact"/>
        <w:ind w:firstLine="643" w:firstLineChars="200"/>
        <w:rPr>
          <w:rFonts w:hint="default" w:ascii="Times New Roman" w:hAnsi="Times New Roman" w:eastAsia="方正楷体_GBK" w:cs="Times New Roman"/>
          <w:b/>
          <w:bCs/>
          <w:color w:val="auto"/>
          <w:kern w:val="0"/>
          <w:sz w:val="32"/>
          <w:szCs w:val="32"/>
        </w:rPr>
      </w:pPr>
      <w:r>
        <w:rPr>
          <w:rFonts w:hint="default" w:ascii="Times New Roman" w:hAnsi="Times New Roman" w:eastAsia="方正楷体_GBK" w:cs="Times New Roman"/>
          <w:b/>
          <w:bCs/>
          <w:color w:val="auto"/>
          <w:kern w:val="0"/>
          <w:sz w:val="32"/>
          <w:szCs w:val="32"/>
        </w:rPr>
        <w:t>监事会</w:t>
      </w:r>
    </w:p>
    <w:p>
      <w:pPr>
        <w:pStyle w:val="14"/>
        <w:keepNext w:val="0"/>
        <w:keepLines w:val="0"/>
        <w:pageBreakBefore w:val="0"/>
        <w:tabs>
          <w:tab w:val="left" w:pos="1418"/>
          <w:tab w:val="left" w:pos="1701"/>
        </w:tabs>
        <w:kinsoku/>
        <w:wordWrap/>
        <w:overflowPunct/>
        <w:topLinePunct w:val="0"/>
        <w:autoSpaceDE/>
        <w:autoSpaceDN/>
        <w:bidi w:val="0"/>
        <w:spacing w:line="580" w:lineRule="exact"/>
        <w:ind w:firstLine="64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本公司监事会的工作职责包括但不限于以下几个方面：</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1.监督执行董事确立稳健的经验理念、价值准则和制定符合本行实际的发展战略；</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2.定期对执行董事制定的发展战略的科学性、合理性和有效性进行评估，形成评估报告；</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3.对本行经营决策、风险管理和内部控制等进行监督检查并督促整改；</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4.对执行董事的选聘程序进行监督；</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5.对执行董事、监事和高级管理人员履职情况进行综合评价；</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6.对本行薪酬管理制度和政策及高级管理人员薪酬方案的科学性、合理性进行监督；</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7.定期与银行业监督管理机构沟通本行情况；</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8.当执行董事、高级管理人员的行为损害本行的利益时，要求执行董事、高级管理人员予以纠正；</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9.根据需要对执行董事和高级管理人员进行离任审计；</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10.对执行董事和高级管理人员进行质询，按照《公司法》的规定，对执行董事、高级管理人员提起诉讼；</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11.对执行董事决定的事项提出质询或者建议；认为必要时，可指派监事列席本行高级管理层会议；</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12.检查、监督本行的财务活动；</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13.核对执行董事拟提交股东会的财务报告、营业报告和利润分配方案等财务资料，发现疑问的，可以本行名义委托注册会计师、执业审计师帮助复审；</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14.监督本行的经营决策、风险管理和内部控制等；</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15.根据本章程的规定提议召开临时股东会，在执行董事不履行召集和主持股东会职责时召集和主持股东会；</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16.向股东会提出提案，向股东会作监事会报告；</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17.制订监事会议事规则的修订案；</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18.对违反法律、行政法规、</w:t>
      </w:r>
      <w:r>
        <w:rPr>
          <w:rFonts w:hint="default" w:ascii="Times New Roman" w:hAnsi="Times New Roman" w:eastAsia="方正仿宋_GBK" w:cs="Times New Roman"/>
          <w:color w:val="auto"/>
          <w:sz w:val="32"/>
          <w:szCs w:val="32"/>
          <w:lang w:eastAsia="zh-CN"/>
        </w:rPr>
        <w:t>公司</w:t>
      </w:r>
      <w:r>
        <w:rPr>
          <w:rFonts w:hint="default" w:ascii="Times New Roman" w:hAnsi="Times New Roman" w:eastAsia="方正仿宋_GBK" w:cs="Times New Roman"/>
          <w:color w:val="auto"/>
          <w:sz w:val="32"/>
          <w:szCs w:val="32"/>
        </w:rPr>
        <w:t>章程或者股东会决议的执行董事、高级管理人员提出罢免的建议；</w:t>
      </w:r>
    </w:p>
    <w:p>
      <w:pPr>
        <w:keepNext w:val="0"/>
        <w:keepLines w:val="0"/>
        <w:pageBreakBefore w:val="0"/>
        <w:tabs>
          <w:tab w:val="left" w:pos="1418"/>
          <w:tab w:val="left" w:pos="1701"/>
        </w:tabs>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sz w:val="32"/>
          <w:szCs w:val="32"/>
        </w:rPr>
        <w:t>19.法律、行政法规、规章、规范性文件及</w:t>
      </w:r>
      <w:r>
        <w:rPr>
          <w:rFonts w:hint="default" w:ascii="Times New Roman" w:hAnsi="Times New Roman" w:eastAsia="方正仿宋_GBK" w:cs="Times New Roman"/>
          <w:color w:val="auto"/>
          <w:sz w:val="32"/>
          <w:szCs w:val="32"/>
          <w:lang w:eastAsia="zh-CN"/>
        </w:rPr>
        <w:t>公司</w:t>
      </w:r>
      <w:r>
        <w:rPr>
          <w:rFonts w:hint="default" w:ascii="Times New Roman" w:hAnsi="Times New Roman" w:eastAsia="方正仿宋_GBK" w:cs="Times New Roman"/>
          <w:color w:val="auto"/>
          <w:sz w:val="32"/>
          <w:szCs w:val="32"/>
        </w:rPr>
        <w:t>章程规定的其他职权。</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三、股东会召开情况</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textAlignment w:val="auto"/>
        <w:outlineLvl w:val="9"/>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报告期内，本公司共召开</w:t>
      </w:r>
      <w:r>
        <w:rPr>
          <w:rFonts w:hint="default" w:ascii="Times New Roman" w:hAnsi="Times New Roman" w:eastAsia="方正仿宋_GBK" w:cs="Times New Roman"/>
          <w:color w:val="auto"/>
          <w:kern w:val="0"/>
          <w:sz w:val="32"/>
          <w:szCs w:val="32"/>
          <w:highlight w:val="none"/>
          <w:lang w:val="en-US" w:eastAsia="zh-CN"/>
        </w:rPr>
        <w:t>1</w:t>
      </w:r>
      <w:r>
        <w:rPr>
          <w:rFonts w:hint="default" w:ascii="Times New Roman" w:hAnsi="Times New Roman" w:eastAsia="方正仿宋_GBK" w:cs="Times New Roman"/>
          <w:color w:val="auto"/>
          <w:kern w:val="0"/>
          <w:sz w:val="32"/>
          <w:szCs w:val="32"/>
          <w:highlight w:val="none"/>
        </w:rPr>
        <w:t>次股东会，审议并表决通过了</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sz w:val="32"/>
          <w:szCs w:val="32"/>
          <w:lang w:val="en-US" w:eastAsia="zh-CN"/>
        </w:rPr>
        <w:t>福建石狮渝农商村镇银行有限责任公司2021年度执行董事工作报告》《福建石狮渝农商村镇银行有限责任公司2021年度监事会工作报告》、《</w:t>
      </w:r>
      <w:r>
        <w:rPr>
          <w:rFonts w:hint="default" w:ascii="Times New Roman" w:hAnsi="Times New Roman" w:eastAsia="方正仿宋_GBK" w:cs="Times New Roman"/>
          <w:sz w:val="32"/>
          <w:szCs w:val="32"/>
        </w:rPr>
        <w:t>关于审议福建石狮渝农商村镇银行有限责任公司2021年财务执行情况和2022年财务预算方案的议案</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关于审议福建石狮渝农商村镇银行有限责任公司2021年利润分配方案的议案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关于审议福建石狮渝农商村镇银行有限责任公司 2022年度绩效考核办法的议案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关于审议聘请福建石狮渝农商村镇银行有限责任公司2022年度会计师事务所的议案》、《关于审议福建石狮渝农商村镇银行有限责任公司修订公司章程的议案》、《福建石狮渝农商村镇银行有限责任公司2021年度关联交易报告》。</w:t>
      </w:r>
    </w:p>
    <w:p>
      <w:pPr>
        <w:keepNext w:val="0"/>
        <w:keepLines w:val="0"/>
        <w:pageBreakBefore w:val="0"/>
        <w:widowControl/>
        <w:kinsoku/>
        <w:wordWrap/>
        <w:overflowPunct/>
        <w:topLinePunct w:val="0"/>
        <w:autoSpaceDE/>
        <w:autoSpaceDN/>
        <w:bidi w:val="0"/>
        <w:spacing w:line="580" w:lineRule="exact"/>
        <w:ind w:firstLine="640" w:firstLineChars="200"/>
        <w:jc w:val="both"/>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四、监事的工作情况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报告期内，组织召开了监事会</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次。审</w:t>
      </w:r>
      <w:r>
        <w:rPr>
          <w:rFonts w:hint="default" w:ascii="Times New Roman" w:hAnsi="Times New Roman" w:eastAsia="方正仿宋_GBK" w:cs="Times New Roman"/>
          <w:color w:val="auto"/>
          <w:sz w:val="32"/>
          <w:szCs w:val="32"/>
          <w:highlight w:val="none"/>
          <w:lang w:eastAsia="zh-CN"/>
        </w:rPr>
        <w:t>议</w:t>
      </w:r>
      <w:r>
        <w:rPr>
          <w:rFonts w:hint="default" w:ascii="Times New Roman" w:hAnsi="Times New Roman" w:eastAsia="方正仿宋_GBK" w:cs="Times New Roman"/>
          <w:color w:val="auto"/>
          <w:sz w:val="32"/>
          <w:szCs w:val="32"/>
          <w:highlight w:val="none"/>
        </w:rPr>
        <w:t>并表决了《监事长述职报告》、《股东监事述职报告》案、《职工监事述职报告》、《监事会考评》</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《监事会对执行董事履职评价测评》、《监事会对高级管理层履职评价测评表》、《2020年度监事会工作报告的议案》》</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《关于审议福建石狮渝农商村镇银行有限责任公司2021年财务执行情况和2022年财务预算方案的议案》</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《关于审议福建石狮渝农商村镇银行有限责任公司2021年利润分配方案的议案》</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《关于审议福建石狮渝农商村镇银行有限责任公司 2022年度绩效考核办法的议案》</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《关于审议聘请福建石狮渝农商村镇银行有限责任公司2022年度会计师事务所的议案》</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《关于审议福建石狮渝农商村镇银行有限责任公司修订公司章程的议案》</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《审议福建石狮渝农商村镇银行有限责任公司2021年度关联交易报告》</w:t>
      </w:r>
      <w:r>
        <w:rPr>
          <w:rFonts w:hint="eastAsia" w:ascii="Times New Roman" w:hAnsi="Times New Roman" w:eastAsia="方正仿宋_GBK" w:cs="Times New Roman"/>
          <w:color w:val="auto"/>
          <w:sz w:val="32"/>
          <w:szCs w:val="32"/>
          <w:highlight w:val="none"/>
          <w:lang w:eastAsia="zh-CN"/>
        </w:rPr>
        <w:t>、《石狮渝农商村镇银行关于2022年“金融知识普及月”活动总结的报告》、《石狮渝农商村镇银行关于贯彻落实2022年中监管约谈会议精神的报告》、《石狮渝农商村镇银行关于内部人控制和外部人操纵情况的排查报告》、《关于洗钱和恐怖融资风险自评估情况的报告》、《石狮渝农商村镇银行关于开展侵害个人信息权益乱象专项整治工作的的自查报告》。</w:t>
      </w:r>
      <w:r>
        <w:rPr>
          <w:rFonts w:hint="default" w:ascii="Times New Roman" w:hAnsi="Times New Roman" w:eastAsia="方正仿宋_GBK" w:cs="Times New Roman"/>
          <w:color w:val="auto"/>
          <w:sz w:val="32"/>
          <w:szCs w:val="32"/>
          <w:highlight w:val="none"/>
        </w:rPr>
        <w:t>对监事、执行董事、高级管理层及其成员20</w:t>
      </w:r>
      <w:r>
        <w:rPr>
          <w:rFonts w:hint="default" w:ascii="Times New Roman" w:hAnsi="Times New Roman" w:eastAsia="方正仿宋_GBK" w:cs="Times New Roman"/>
          <w:color w:val="auto"/>
          <w:sz w:val="32"/>
          <w:szCs w:val="32"/>
          <w:highlight w:val="none"/>
          <w:lang w:val="en-US" w:eastAsia="zh-CN"/>
        </w:rPr>
        <w:t>2</w:t>
      </w: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年度工作履职情况进行了评价考核。</w:t>
      </w:r>
      <w:r>
        <w:rPr>
          <w:rFonts w:hint="default" w:ascii="Times New Roman" w:hAnsi="Times New Roman" w:eastAsia="方正仿宋_GBK" w:cs="Times New Roman"/>
          <w:color w:val="auto"/>
          <w:sz w:val="32"/>
          <w:szCs w:val="32"/>
          <w:highlight w:val="none"/>
          <w:lang w:val="en-US" w:eastAsia="zh-CN"/>
        </w:rPr>
        <w:t>参会监事认真审议各项议案，独立发表意见，体现了较强的履职能力和责任心。</w:t>
      </w:r>
    </w:p>
    <w:p>
      <w:pPr>
        <w:keepNext w:val="0"/>
        <w:keepLines w:val="0"/>
        <w:pageBreakBefore w:val="0"/>
        <w:widowControl/>
        <w:numPr>
          <w:ilvl w:val="0"/>
          <w:numId w:val="2"/>
        </w:numPr>
        <w:kinsoku/>
        <w:wordWrap/>
        <w:overflowPunct/>
        <w:topLinePunct w:val="0"/>
        <w:autoSpaceDE/>
        <w:autoSpaceDN/>
        <w:bidi w:val="0"/>
        <w:spacing w:line="580" w:lineRule="exact"/>
        <w:ind w:left="0" w:leftChars="0" w:firstLine="640" w:firstLineChars="200"/>
        <w:jc w:val="both"/>
        <w:rPr>
          <w:rFonts w:hint="default" w:ascii="Times New Roman" w:hAnsi="Times New Roman" w:eastAsia="方正黑体_GBK" w:cs="Times New Roman"/>
          <w:bCs/>
          <w:color w:val="auto"/>
          <w:kern w:val="0"/>
          <w:sz w:val="32"/>
          <w:szCs w:val="32"/>
          <w:highlight w:val="none"/>
        </w:rPr>
      </w:pPr>
      <w:r>
        <w:rPr>
          <w:rFonts w:hint="default" w:ascii="Times New Roman" w:hAnsi="Times New Roman" w:eastAsia="方正黑体_GBK" w:cs="Times New Roman"/>
          <w:bCs/>
          <w:color w:val="auto"/>
          <w:kern w:val="0"/>
          <w:sz w:val="32"/>
          <w:szCs w:val="32"/>
          <w:highlight w:val="none"/>
        </w:rPr>
        <w:t>行长的工作情况</w:t>
      </w:r>
    </w:p>
    <w:p>
      <w:pPr>
        <w:keepNext w:val="0"/>
        <w:keepLines w:val="0"/>
        <w:pageBreakBefore w:val="0"/>
        <w:kinsoku/>
        <w:wordWrap/>
        <w:overflowPunct/>
        <w:topLinePunct w:val="0"/>
        <w:autoSpaceDE/>
        <w:autoSpaceDN/>
        <w:bidi w:val="0"/>
        <w:adjustRightInd w:val="0"/>
        <w:snapToGrid w:val="0"/>
        <w:spacing w:line="580" w:lineRule="exact"/>
        <w:ind w:firstLine="660"/>
        <w:rPr>
          <w:rFonts w:hint="default" w:ascii="Times New Roman" w:hAnsi="Times New Roman" w:eastAsia="方正仿宋_GBK" w:cs="Times New Roman"/>
          <w:sz w:val="32"/>
          <w:szCs w:val="32"/>
        </w:rPr>
      </w:pPr>
      <w:r>
        <w:rPr>
          <w:rFonts w:hint="default" w:ascii="Times New Roman" w:hAnsi="Times New Roman" w:eastAsia="方正楷体_GBK" w:cs="Times New Roman"/>
          <w:b/>
          <w:sz w:val="32"/>
          <w:szCs w:val="32"/>
          <w:lang w:eastAsia="zh-CN"/>
        </w:rPr>
        <w:t>一是</w:t>
      </w:r>
      <w:r>
        <w:rPr>
          <w:rFonts w:hint="default" w:ascii="Times New Roman" w:hAnsi="Times New Roman" w:eastAsia="方正仿宋_GBK" w:cs="Times New Roman"/>
          <w:b/>
          <w:sz w:val="32"/>
          <w:szCs w:val="32"/>
        </w:rPr>
        <w:t>强化党建工作。</w:t>
      </w:r>
      <w:r>
        <w:rPr>
          <w:rFonts w:ascii="Times New Roman" w:hAnsi="Times New Roman" w:eastAsia="方正仿宋_GBK"/>
          <w:sz w:val="32"/>
          <w:szCs w:val="32"/>
        </w:rPr>
        <w:t>认真</w:t>
      </w:r>
      <w:r>
        <w:rPr>
          <w:rFonts w:hint="eastAsia" w:ascii="Times New Roman" w:hAnsi="Times New Roman" w:eastAsia="方正仿宋_GBK"/>
          <w:sz w:val="32"/>
          <w:szCs w:val="32"/>
        </w:rPr>
        <w:t>学习</w:t>
      </w:r>
      <w:r>
        <w:rPr>
          <w:rFonts w:ascii="Times New Roman" w:hAnsi="Times New Roman" w:eastAsia="方正仿宋_GBK"/>
          <w:sz w:val="32"/>
          <w:szCs w:val="32"/>
        </w:rPr>
        <w:t>习近平总书记</w:t>
      </w:r>
      <w:r>
        <w:rPr>
          <w:rFonts w:hint="eastAsia" w:ascii="Times New Roman" w:hAnsi="Times New Roman" w:eastAsia="方正仿宋_GBK"/>
          <w:sz w:val="32"/>
          <w:szCs w:val="32"/>
        </w:rPr>
        <w:t>和党中央重大决策部署，带头贯彻落实党的“二十大”精神，</w:t>
      </w:r>
      <w:r>
        <w:rPr>
          <w:rFonts w:ascii="Times New Roman" w:hAnsi="Times New Roman" w:eastAsia="方正仿宋_GBK"/>
          <w:sz w:val="32"/>
          <w:szCs w:val="32"/>
        </w:rPr>
        <w:t>树牢“四个意识”、坚定“四个自信”、坚决做到“两个维护”。</w:t>
      </w:r>
      <w:r>
        <w:rPr>
          <w:rFonts w:hint="eastAsia" w:ascii="Times New Roman" w:hAnsi="Times New Roman" w:eastAsia="方正仿宋_GBK"/>
          <w:sz w:val="32"/>
          <w:szCs w:val="32"/>
        </w:rPr>
        <w:t>深入推进党建阵地建设，在泉州疫情期间，开展“我是党员我先上”活动，要求党员干部亮身份、当先锋，充分发挥基层党支部战斗堡垒作用。加强党员队伍发展、教育和管理工作，把党员培养成业务骨干，把业务骨干培养成党员。2022年共发展入党积极分子4人，发展党员2人。</w:t>
      </w:r>
      <w:r>
        <w:rPr>
          <w:rFonts w:hint="default" w:ascii="Times New Roman" w:hAnsi="Times New Roman" w:eastAsia="方正仿宋_GBK" w:cs="Times New Roman"/>
          <w:b/>
          <w:sz w:val="32"/>
          <w:szCs w:val="32"/>
          <w:lang w:eastAsia="zh-CN"/>
        </w:rPr>
        <w:t>二</w:t>
      </w:r>
      <w:r>
        <w:rPr>
          <w:rFonts w:hint="default" w:ascii="Times New Roman" w:hAnsi="Times New Roman" w:eastAsia="方正仿宋_GBK" w:cs="Times New Roman"/>
          <w:b/>
          <w:sz w:val="32"/>
          <w:szCs w:val="32"/>
        </w:rPr>
        <w:t>是</w:t>
      </w:r>
      <w:r>
        <w:rPr>
          <w:rFonts w:ascii="Times New Roman" w:hAnsi="Times New Roman" w:eastAsia="方正仿宋_GBK"/>
          <w:b/>
          <w:sz w:val="32"/>
          <w:szCs w:val="32"/>
        </w:rPr>
        <w:t>持续完善公司治理。</w:t>
      </w:r>
      <w:r>
        <w:rPr>
          <w:rFonts w:ascii="Times New Roman" w:hAnsi="Times New Roman" w:eastAsia="方正仿宋_GBK"/>
          <w:color w:val="000000"/>
          <w:kern w:val="0"/>
          <w:sz w:val="32"/>
          <w:szCs w:val="32"/>
        </w:rPr>
        <w:t>健全“两会一层”的公司架构，</w:t>
      </w:r>
      <w:r>
        <w:rPr>
          <w:rFonts w:hint="eastAsia" w:ascii="Times New Roman" w:hAnsi="Times New Roman" w:eastAsia="方正仿宋_GBK"/>
          <w:color w:val="000000"/>
          <w:kern w:val="0"/>
          <w:sz w:val="32"/>
          <w:szCs w:val="32"/>
        </w:rPr>
        <w:t>完善</w:t>
      </w:r>
      <w:r>
        <w:rPr>
          <w:rFonts w:ascii="Times New Roman" w:hAnsi="Times New Roman" w:eastAsia="方正仿宋_GBK"/>
          <w:color w:val="000000"/>
          <w:kern w:val="0"/>
          <w:sz w:val="32"/>
          <w:szCs w:val="32"/>
        </w:rPr>
        <w:t>了股东会、执行董事、监事会和高级管理层构成的公司治理架构。</w:t>
      </w:r>
      <w:r>
        <w:rPr>
          <w:rFonts w:hint="eastAsia" w:ascii="Times New Roman" w:hAnsi="Times New Roman" w:eastAsia="方正仿宋_GBK"/>
          <w:color w:val="000000"/>
          <w:kern w:val="0"/>
          <w:sz w:val="32"/>
          <w:szCs w:val="32"/>
        </w:rPr>
        <w:t>进一步</w:t>
      </w:r>
      <w:r>
        <w:rPr>
          <w:rFonts w:ascii="Times New Roman" w:hAnsi="Times New Roman" w:eastAsia="方正仿宋_GBK"/>
          <w:color w:val="000000"/>
          <w:kern w:val="0"/>
          <w:sz w:val="32"/>
          <w:szCs w:val="32"/>
        </w:rPr>
        <w:t>明确了党组织在公司治理</w:t>
      </w:r>
      <w:r>
        <w:rPr>
          <w:rFonts w:hint="eastAsia" w:ascii="Times New Roman" w:hAnsi="Times New Roman" w:eastAsia="方正仿宋_GBK"/>
          <w:color w:val="000000"/>
          <w:kern w:val="0"/>
          <w:sz w:val="32"/>
          <w:szCs w:val="32"/>
        </w:rPr>
        <w:t>中</w:t>
      </w:r>
      <w:r>
        <w:rPr>
          <w:rFonts w:ascii="Times New Roman" w:hAnsi="Times New Roman" w:eastAsia="方正仿宋_GBK"/>
          <w:color w:val="000000"/>
          <w:kern w:val="0"/>
          <w:sz w:val="32"/>
          <w:szCs w:val="32"/>
        </w:rPr>
        <w:t>的重要地位和作用，</w:t>
      </w:r>
      <w:r>
        <w:rPr>
          <w:rFonts w:hint="eastAsia" w:ascii="Times New Roman" w:hAnsi="Times New Roman" w:eastAsia="方正仿宋_GBK"/>
          <w:color w:val="000000"/>
          <w:kern w:val="0"/>
          <w:sz w:val="32"/>
          <w:szCs w:val="32"/>
        </w:rPr>
        <w:t>完成了一家主要股东的变更工作</w:t>
      </w:r>
      <w:r>
        <w:rPr>
          <w:rFonts w:ascii="Times New Roman" w:hAnsi="Times New Roman" w:eastAsia="方正仿宋_GBK"/>
          <w:color w:val="000000"/>
          <w:kern w:val="0"/>
          <w:sz w:val="32"/>
          <w:szCs w:val="32"/>
        </w:rPr>
        <w:t>。</w:t>
      </w:r>
      <w:r>
        <w:rPr>
          <w:rFonts w:hint="eastAsia" w:ascii="Times New Roman" w:hAnsi="Times New Roman" w:eastAsia="方正仿宋_GBK"/>
          <w:color w:val="000000"/>
          <w:kern w:val="0"/>
          <w:sz w:val="32"/>
          <w:szCs w:val="32"/>
        </w:rPr>
        <w:t>此外，我行2022-2024资本规划工作受主发起行书面表扬。</w:t>
      </w:r>
      <w:r>
        <w:rPr>
          <w:rFonts w:hint="default" w:ascii="Times New Roman" w:hAnsi="Times New Roman" w:eastAsia="方正仿宋_GBK" w:cs="Times New Roman"/>
          <w:sz w:val="32"/>
          <w:szCs w:val="32"/>
          <w:lang w:eastAsia="zh-CN"/>
        </w:rPr>
        <w:t>三</w:t>
      </w:r>
      <w:r>
        <w:rPr>
          <w:rFonts w:hint="default" w:ascii="Times New Roman" w:hAnsi="Times New Roman" w:eastAsia="方正仿宋_GBK" w:cs="Times New Roman"/>
          <w:b/>
          <w:sz w:val="32"/>
          <w:szCs w:val="32"/>
        </w:rPr>
        <w:t>是</w:t>
      </w:r>
      <w:r>
        <w:rPr>
          <w:rFonts w:ascii="Times New Roman" w:hAnsi="Times New Roman" w:eastAsia="方正仿宋_GBK"/>
          <w:b/>
          <w:sz w:val="32"/>
          <w:szCs w:val="32"/>
        </w:rPr>
        <w:t>坚持从严管行治行。</w:t>
      </w:r>
      <w:r>
        <w:rPr>
          <w:rFonts w:hint="eastAsia" w:ascii="Times New Roman" w:hAnsi="Times New Roman" w:eastAsia="方正仿宋_GBK"/>
          <w:color w:val="000000"/>
          <w:kern w:val="0"/>
          <w:sz w:val="32"/>
          <w:szCs w:val="32"/>
        </w:rPr>
        <w:t>扎实推进内控“提档升级”，全年检查发现问题83个，已整改81个，整改率98%。钉牢屡查屡犯，对违规行为依规处罚，全年开出罚单19人次、罚款0.25万元、调减绩效1.65万元，手持戒尺让员工心存敬畏、遵规守矩。</w:t>
      </w:r>
      <w:r>
        <w:rPr>
          <w:rFonts w:hint="default" w:ascii="Times New Roman" w:hAnsi="Times New Roman" w:eastAsia="方正仿宋_GBK" w:cs="Times New Roman"/>
          <w:b/>
          <w:sz w:val="32"/>
          <w:szCs w:val="32"/>
          <w:lang w:eastAsia="zh-CN"/>
        </w:rPr>
        <w:t>四</w:t>
      </w:r>
      <w:r>
        <w:rPr>
          <w:rFonts w:hint="default" w:ascii="Times New Roman" w:hAnsi="Times New Roman" w:eastAsia="方正仿宋_GBK" w:cs="Times New Roman"/>
          <w:b/>
          <w:sz w:val="32"/>
          <w:szCs w:val="32"/>
        </w:rPr>
        <w:t>是</w:t>
      </w:r>
      <w:r>
        <w:rPr>
          <w:rFonts w:ascii="Times New Roman" w:hAnsi="Times New Roman" w:eastAsia="方正仿宋_GBK"/>
          <w:b/>
          <w:sz w:val="32"/>
          <w:szCs w:val="32"/>
        </w:rPr>
        <w:t>不断加强队伍建设。</w:t>
      </w:r>
      <w:r>
        <w:rPr>
          <w:rFonts w:ascii="Times New Roman" w:hAnsi="Times New Roman" w:eastAsia="方正仿宋_GBK"/>
          <w:sz w:val="32"/>
          <w:szCs w:val="32"/>
        </w:rPr>
        <w:t>对全行实行目标管理，建立竞争机制，让真正愿干事、想干事、能干事、干成事的人能够独当一面，悉心培养</w:t>
      </w:r>
      <w:r>
        <w:rPr>
          <w:rFonts w:hint="eastAsia" w:ascii="Times New Roman" w:hAnsi="Times New Roman" w:eastAsia="方正仿宋_GBK"/>
          <w:sz w:val="32"/>
          <w:szCs w:val="32"/>
        </w:rPr>
        <w:t>，1名员工取得了注册会计师证书</w:t>
      </w:r>
      <w:r>
        <w:rPr>
          <w:rFonts w:ascii="Times New Roman" w:hAnsi="Times New Roman" w:eastAsia="方正仿宋_GBK"/>
          <w:sz w:val="32"/>
          <w:szCs w:val="32"/>
        </w:rPr>
        <w:t>。</w:t>
      </w:r>
      <w:r>
        <w:rPr>
          <w:rFonts w:hint="eastAsia" w:ascii="Times New Roman" w:hAnsi="Times New Roman" w:eastAsia="方正仿宋_GBK"/>
          <w:sz w:val="32"/>
          <w:szCs w:val="32"/>
        </w:rPr>
        <w:t>此外，</w:t>
      </w:r>
      <w:r>
        <w:rPr>
          <w:rFonts w:ascii="Times New Roman" w:hAnsi="Times New Roman" w:eastAsia="方正仿宋_GBK"/>
          <w:sz w:val="32"/>
          <w:szCs w:val="32"/>
        </w:rPr>
        <w:t>全年</w:t>
      </w:r>
      <w:r>
        <w:rPr>
          <w:rFonts w:hint="eastAsia" w:ascii="Times New Roman" w:hAnsi="Times New Roman" w:eastAsia="方正仿宋_GBK"/>
          <w:sz w:val="32"/>
          <w:szCs w:val="32"/>
        </w:rPr>
        <w:t>共</w:t>
      </w:r>
      <w:r>
        <w:rPr>
          <w:rFonts w:ascii="Times New Roman" w:hAnsi="Times New Roman" w:eastAsia="方正仿宋_GBK"/>
          <w:sz w:val="32"/>
          <w:szCs w:val="32"/>
        </w:rPr>
        <w:t>招聘</w:t>
      </w:r>
      <w:r>
        <w:rPr>
          <w:rFonts w:hint="eastAsia" w:ascii="Times New Roman" w:hAnsi="Times New Roman" w:eastAsia="方正仿宋_GBK"/>
          <w:sz w:val="32"/>
          <w:szCs w:val="32"/>
        </w:rPr>
        <w:t>2</w:t>
      </w:r>
      <w:r>
        <w:rPr>
          <w:rFonts w:ascii="Times New Roman" w:hAnsi="Times New Roman" w:eastAsia="方正仿宋_GBK"/>
          <w:sz w:val="32"/>
          <w:szCs w:val="32"/>
        </w:rPr>
        <w:t>人，保持了队伍稳定。</w:t>
      </w:r>
      <w:r>
        <w:rPr>
          <w:rFonts w:hint="default" w:ascii="Times New Roman" w:hAnsi="Times New Roman" w:eastAsia="方正仿宋_GBK" w:cs="Times New Roman"/>
          <w:b/>
          <w:sz w:val="32"/>
          <w:szCs w:val="32"/>
          <w:lang w:eastAsia="zh-CN"/>
        </w:rPr>
        <w:t>五</w:t>
      </w:r>
      <w:r>
        <w:rPr>
          <w:rFonts w:hint="default" w:ascii="Times New Roman" w:hAnsi="Times New Roman" w:eastAsia="方正仿宋_GBK" w:cs="Times New Roman"/>
          <w:b/>
          <w:sz w:val="32"/>
          <w:szCs w:val="32"/>
        </w:rPr>
        <w:t>是</w:t>
      </w:r>
      <w:r>
        <w:rPr>
          <w:rFonts w:ascii="Times New Roman" w:hAnsi="Times New Roman" w:eastAsia="方正仿宋_GBK"/>
          <w:b/>
          <w:sz w:val="32"/>
          <w:szCs w:val="32"/>
        </w:rPr>
        <w:t>切实防范信贷风险。</w:t>
      </w:r>
      <w:r>
        <w:rPr>
          <w:rFonts w:ascii="Times New Roman" w:hAnsi="Times New Roman" w:eastAsia="方正仿宋_GBK"/>
          <w:color w:val="000000"/>
          <w:sz w:val="32"/>
          <w:szCs w:val="32"/>
        </w:rPr>
        <w:t>在禁止“单身、离异、异地”客户准入的基础上，重点支持“80后、已婚、已育”客户，形成“三入三不入”。此外，我行</w:t>
      </w:r>
      <w:r>
        <w:rPr>
          <w:rFonts w:hint="eastAsia" w:ascii="Times New Roman" w:hAnsi="Times New Roman" w:eastAsia="方正仿宋_GBK"/>
          <w:color w:val="000000"/>
          <w:sz w:val="32"/>
          <w:szCs w:val="32"/>
        </w:rPr>
        <w:t>持续</w:t>
      </w:r>
      <w:r>
        <w:rPr>
          <w:rFonts w:ascii="Times New Roman" w:hAnsi="Times New Roman" w:eastAsia="方正仿宋_GBK"/>
          <w:color w:val="000000"/>
          <w:sz w:val="32"/>
          <w:szCs w:val="32"/>
        </w:rPr>
        <w:t>压降存量大额贷款。截至202</w:t>
      </w:r>
      <w:r>
        <w:rPr>
          <w:rFonts w:hint="eastAsia" w:ascii="Times New Roman" w:hAnsi="Times New Roman" w:eastAsia="方正仿宋_GBK"/>
          <w:color w:val="000000"/>
          <w:sz w:val="32"/>
          <w:szCs w:val="32"/>
        </w:rPr>
        <w:t>2</w:t>
      </w:r>
      <w:r>
        <w:rPr>
          <w:rFonts w:ascii="Times New Roman" w:hAnsi="Times New Roman" w:eastAsia="方正仿宋_GBK"/>
          <w:color w:val="000000"/>
          <w:sz w:val="32"/>
          <w:szCs w:val="32"/>
        </w:rPr>
        <w:t>年末，我行大额授信余额仅1</w:t>
      </w:r>
      <w:r>
        <w:rPr>
          <w:rFonts w:hint="eastAsia" w:ascii="Times New Roman" w:hAnsi="Times New Roman" w:eastAsia="方正仿宋_GBK"/>
          <w:color w:val="000000"/>
          <w:sz w:val="32"/>
          <w:szCs w:val="32"/>
        </w:rPr>
        <w:t>2</w:t>
      </w:r>
      <w:r>
        <w:rPr>
          <w:rFonts w:ascii="Times New Roman" w:hAnsi="Times New Roman" w:eastAsia="方正仿宋_GBK"/>
          <w:color w:val="000000"/>
          <w:sz w:val="32"/>
          <w:szCs w:val="32"/>
        </w:rPr>
        <w:t>0万元，户均贷款29.</w:t>
      </w:r>
      <w:r>
        <w:rPr>
          <w:rFonts w:hint="eastAsia" w:ascii="Times New Roman" w:hAnsi="Times New Roman" w:eastAsia="方正仿宋_GBK"/>
          <w:color w:val="000000"/>
          <w:sz w:val="32"/>
          <w:szCs w:val="32"/>
        </w:rPr>
        <w:t>95</w:t>
      </w:r>
      <w:r>
        <w:rPr>
          <w:rFonts w:ascii="Times New Roman" w:hAnsi="Times New Roman" w:eastAsia="方正仿宋_GBK"/>
          <w:color w:val="000000"/>
          <w:sz w:val="32"/>
          <w:szCs w:val="32"/>
        </w:rPr>
        <w:t>万元，牢牢坚守了市场定位。</w:t>
      </w:r>
      <w:r>
        <w:rPr>
          <w:rFonts w:hint="default" w:ascii="Times New Roman" w:hAnsi="Times New Roman" w:eastAsia="方正仿宋_GBK" w:cs="Times New Roman"/>
          <w:b/>
          <w:sz w:val="32"/>
          <w:szCs w:val="32"/>
          <w:lang w:eastAsia="zh-CN"/>
        </w:rPr>
        <w:t>六</w:t>
      </w:r>
      <w:r>
        <w:rPr>
          <w:rFonts w:hint="default" w:ascii="Times New Roman" w:hAnsi="Times New Roman" w:eastAsia="方正仿宋_GBK" w:cs="Times New Roman"/>
          <w:b/>
          <w:sz w:val="32"/>
          <w:szCs w:val="32"/>
        </w:rPr>
        <w:t>是</w:t>
      </w:r>
      <w:r>
        <w:rPr>
          <w:rFonts w:ascii="Times New Roman" w:hAnsi="Times New Roman" w:eastAsia="方正仿宋_GBK"/>
          <w:b/>
          <w:sz w:val="32"/>
          <w:szCs w:val="32"/>
        </w:rPr>
        <w:t>不断规范</w:t>
      </w:r>
      <w:r>
        <w:rPr>
          <w:rFonts w:hint="eastAsia" w:ascii="Times New Roman" w:hAnsi="Times New Roman" w:eastAsia="方正仿宋_GBK"/>
          <w:b/>
          <w:sz w:val="32"/>
          <w:szCs w:val="32"/>
        </w:rPr>
        <w:t>员工行为</w:t>
      </w:r>
      <w:r>
        <w:rPr>
          <w:rFonts w:ascii="Times New Roman" w:hAnsi="Times New Roman" w:eastAsia="方正仿宋_GBK"/>
          <w:b/>
          <w:sz w:val="32"/>
          <w:szCs w:val="32"/>
        </w:rPr>
        <w:t>。</w:t>
      </w:r>
      <w:r>
        <w:rPr>
          <w:rFonts w:ascii="Times New Roman" w:hAnsi="Times New Roman" w:eastAsia="方正仿宋_GBK"/>
          <w:sz w:val="32"/>
          <w:szCs w:val="32"/>
        </w:rPr>
        <w:t>坚持检查从严，扎实开展条线排查，对发起行案防排查</w:t>
      </w:r>
      <w:r>
        <w:rPr>
          <w:rFonts w:hint="eastAsia" w:ascii="Times New Roman" w:hAnsi="Times New Roman" w:eastAsia="方正仿宋_GBK"/>
          <w:sz w:val="32"/>
          <w:szCs w:val="32"/>
        </w:rPr>
        <w:t>和</w:t>
      </w:r>
      <w:r>
        <w:rPr>
          <w:rFonts w:ascii="Times New Roman" w:hAnsi="Times New Roman" w:eastAsia="方正仿宋_GBK"/>
          <w:sz w:val="32"/>
          <w:szCs w:val="32"/>
        </w:rPr>
        <w:t>条线检查发现的问题，做到规范横向到边、纵向到底，不留死角。</w:t>
      </w:r>
      <w:r>
        <w:rPr>
          <w:rFonts w:hint="eastAsia" w:ascii="Times New Roman" w:hAnsi="Times New Roman" w:eastAsia="方正仿宋_GBK"/>
          <w:color w:val="000000"/>
          <w:kern w:val="0"/>
          <w:sz w:val="32"/>
          <w:szCs w:val="32"/>
        </w:rPr>
        <w:t>全员签订了《案防承诺书》，完善员工应急联系人和家庭成员经商名单，定期检查员工负债情况，强化员工行为管理。</w:t>
      </w:r>
      <w:r>
        <w:rPr>
          <w:rFonts w:hint="default" w:ascii="Times New Roman" w:hAnsi="Times New Roman" w:eastAsia="方正仿宋_GBK" w:cs="Times New Roman"/>
          <w:b/>
          <w:sz w:val="32"/>
          <w:szCs w:val="32"/>
          <w:lang w:eastAsia="zh-CN"/>
        </w:rPr>
        <w:t>七</w:t>
      </w:r>
      <w:r>
        <w:rPr>
          <w:rFonts w:hint="default" w:ascii="Times New Roman" w:hAnsi="Times New Roman" w:eastAsia="方正仿宋_GBK" w:cs="Times New Roman"/>
          <w:b/>
          <w:sz w:val="32"/>
          <w:szCs w:val="32"/>
        </w:rPr>
        <w:t>是</w:t>
      </w:r>
      <w:r>
        <w:rPr>
          <w:rFonts w:hint="eastAsia" w:ascii="Times New Roman" w:hAnsi="Times New Roman" w:eastAsia="方正仿宋_GBK"/>
          <w:b/>
          <w:color w:val="000000"/>
          <w:kern w:val="0"/>
          <w:sz w:val="32"/>
          <w:szCs w:val="32"/>
        </w:rPr>
        <w:t>保障安全稳定运营</w:t>
      </w:r>
      <w:r>
        <w:rPr>
          <w:rFonts w:ascii="Times New Roman" w:hAnsi="Times New Roman" w:eastAsia="方正仿宋_GBK"/>
          <w:b/>
          <w:sz w:val="32"/>
          <w:szCs w:val="32"/>
        </w:rPr>
        <w:t>。</w:t>
      </w:r>
      <w:r>
        <w:rPr>
          <w:rFonts w:ascii="Times New Roman" w:hAnsi="Times New Roman" w:eastAsia="方正仿宋_GBK"/>
          <w:sz w:val="32"/>
          <w:szCs w:val="32"/>
        </w:rPr>
        <w:t>组织防盗、防火、防劫持</w:t>
      </w:r>
      <w:r>
        <w:rPr>
          <w:rFonts w:hint="eastAsia" w:ascii="Times New Roman" w:hAnsi="Times New Roman" w:eastAsia="方正仿宋_GBK"/>
          <w:sz w:val="32"/>
          <w:szCs w:val="32"/>
        </w:rPr>
        <w:t>、防挤兑</w:t>
      </w:r>
      <w:r>
        <w:rPr>
          <w:rFonts w:ascii="Times New Roman" w:hAnsi="Times New Roman" w:eastAsia="方正仿宋_GBK"/>
          <w:sz w:val="32"/>
          <w:szCs w:val="32"/>
        </w:rPr>
        <w:t>等应急演练，强化员工应急处</w:t>
      </w:r>
      <w:r>
        <w:rPr>
          <w:rFonts w:hint="eastAsia" w:ascii="Times New Roman" w:hAnsi="Times New Roman" w:eastAsia="方正仿宋_GBK"/>
          <w:sz w:val="32"/>
          <w:szCs w:val="32"/>
        </w:rPr>
        <w:t>突</w:t>
      </w:r>
      <w:r>
        <w:rPr>
          <w:rFonts w:ascii="Times New Roman" w:hAnsi="Times New Roman" w:eastAsia="方正仿宋_GBK"/>
          <w:sz w:val="32"/>
          <w:szCs w:val="32"/>
        </w:rPr>
        <w:t>能力。</w:t>
      </w:r>
      <w:r>
        <w:rPr>
          <w:rFonts w:hint="eastAsia" w:ascii="Times New Roman" w:hAnsi="Times New Roman" w:eastAsia="方正仿宋_GBK"/>
          <w:color w:val="000000"/>
          <w:kern w:val="0"/>
          <w:sz w:val="32"/>
          <w:szCs w:val="32"/>
        </w:rPr>
        <w:t>定期召开安全保卫联席会、贷后管理联席会、制度评审会等，全年未发生案件或事故，保障了安全稳健运营。</w:t>
      </w:r>
      <w:r>
        <w:rPr>
          <w:rFonts w:hint="default" w:ascii="Times New Roman" w:hAnsi="Times New Roman" w:eastAsia="方正仿宋_GBK" w:cs="Times New Roman"/>
          <w:b/>
          <w:sz w:val="32"/>
          <w:szCs w:val="32"/>
          <w:lang w:eastAsia="zh-CN"/>
        </w:rPr>
        <w:t>八</w:t>
      </w:r>
      <w:r>
        <w:rPr>
          <w:rFonts w:hint="default" w:ascii="Times New Roman" w:hAnsi="Times New Roman" w:eastAsia="方正仿宋_GBK" w:cs="Times New Roman"/>
          <w:b/>
          <w:sz w:val="32"/>
          <w:szCs w:val="32"/>
        </w:rPr>
        <w:t>是</w:t>
      </w:r>
      <w:r>
        <w:rPr>
          <w:rFonts w:ascii="Times New Roman" w:hAnsi="Times New Roman" w:eastAsia="方正仿宋_GBK"/>
          <w:b/>
          <w:sz w:val="32"/>
          <w:szCs w:val="32"/>
        </w:rPr>
        <w:t>推进企业文化建设。</w:t>
      </w:r>
      <w:r>
        <w:rPr>
          <w:rFonts w:hint="eastAsia" w:ascii="Times New Roman" w:hAnsi="Times New Roman" w:eastAsia="方正仿宋_GBK"/>
          <w:sz w:val="32"/>
          <w:szCs w:val="32"/>
        </w:rPr>
        <w:t>泉州疫情期间，采取暂停柜面营业、线上受理业务、分散居家办公等多种方式降低感染风险，保障防疫物资供应，始终把全行员工的生命安全和身体健康放在首位。此外，</w:t>
      </w:r>
      <w:r>
        <w:rPr>
          <w:rFonts w:ascii="Times New Roman" w:hAnsi="Times New Roman" w:eastAsia="方正仿宋_GBK"/>
          <w:sz w:val="32"/>
          <w:szCs w:val="32"/>
        </w:rPr>
        <w:t>开展了“三八节”慰问、</w:t>
      </w:r>
      <w:r>
        <w:rPr>
          <w:rFonts w:hint="eastAsia" w:ascii="Times New Roman" w:hAnsi="Times New Roman" w:eastAsia="方正仿宋_GBK"/>
          <w:sz w:val="32"/>
          <w:szCs w:val="32"/>
        </w:rPr>
        <w:t>“</w:t>
      </w:r>
      <w:r>
        <w:rPr>
          <w:rFonts w:ascii="Times New Roman" w:hAnsi="Times New Roman" w:eastAsia="方正仿宋_GBK"/>
          <w:sz w:val="32"/>
          <w:szCs w:val="32"/>
        </w:rPr>
        <w:t>七一</w:t>
      </w:r>
      <w:r>
        <w:rPr>
          <w:rFonts w:hint="eastAsia" w:ascii="Times New Roman" w:hAnsi="Times New Roman" w:eastAsia="方正仿宋_GBK"/>
          <w:sz w:val="32"/>
          <w:szCs w:val="32"/>
        </w:rPr>
        <w:t>”</w:t>
      </w:r>
      <w:r>
        <w:rPr>
          <w:rFonts w:ascii="Times New Roman" w:hAnsi="Times New Roman" w:eastAsia="方正仿宋_GBK"/>
          <w:sz w:val="32"/>
          <w:szCs w:val="32"/>
        </w:rPr>
        <w:t>党建、革命教育基地参观等活动，建设</w:t>
      </w:r>
      <w:r>
        <w:rPr>
          <w:rFonts w:hint="eastAsia" w:ascii="Times New Roman" w:hAnsi="Times New Roman" w:eastAsia="方正仿宋_GBK"/>
          <w:sz w:val="32"/>
          <w:szCs w:val="32"/>
        </w:rPr>
        <w:t>了</w:t>
      </w:r>
      <w:r>
        <w:rPr>
          <w:rFonts w:ascii="Times New Roman" w:hAnsi="Times New Roman" w:eastAsia="方正仿宋_GBK"/>
          <w:sz w:val="32"/>
          <w:szCs w:val="32"/>
        </w:rPr>
        <w:t>支部红色读书角，解决员工停车难题，提升</w:t>
      </w:r>
      <w:r>
        <w:rPr>
          <w:rFonts w:hint="eastAsia" w:ascii="Times New Roman" w:hAnsi="Times New Roman" w:eastAsia="方正仿宋_GBK"/>
          <w:sz w:val="32"/>
          <w:szCs w:val="32"/>
        </w:rPr>
        <w:t>了</w:t>
      </w:r>
      <w:r>
        <w:rPr>
          <w:rFonts w:ascii="Times New Roman" w:hAnsi="Times New Roman" w:eastAsia="方正仿宋_GBK"/>
          <w:sz w:val="32"/>
          <w:szCs w:val="32"/>
        </w:rPr>
        <w:t>员工</w:t>
      </w:r>
      <w:r>
        <w:rPr>
          <w:rFonts w:hint="eastAsia" w:ascii="Times New Roman" w:hAnsi="Times New Roman" w:eastAsia="方正仿宋_GBK"/>
          <w:sz w:val="32"/>
          <w:szCs w:val="32"/>
        </w:rPr>
        <w:t>的</w:t>
      </w:r>
      <w:r>
        <w:rPr>
          <w:rFonts w:ascii="Times New Roman" w:hAnsi="Times New Roman" w:eastAsia="方正仿宋_GBK"/>
          <w:sz w:val="32"/>
          <w:szCs w:val="32"/>
        </w:rPr>
        <w:t>凝聚力和向心力</w:t>
      </w:r>
      <w:r>
        <w:rPr>
          <w:rFonts w:hint="eastAsia" w:ascii="Times New Roman" w:hAnsi="Times New Roman" w:eastAsia="方正仿宋_GBK"/>
          <w:sz w:val="32"/>
          <w:szCs w:val="32"/>
        </w:rPr>
        <w:t>。</w:t>
      </w:r>
    </w:p>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小标宋_GBK" w:cs="Times New Roman"/>
          <w:bCs/>
          <w:color w:val="auto"/>
          <w:kern w:val="0"/>
          <w:sz w:val="32"/>
          <w:szCs w:val="32"/>
          <w:highlight w:val="none"/>
        </w:rPr>
      </w:pPr>
      <w:r>
        <w:rPr>
          <w:rFonts w:hint="default" w:ascii="Times New Roman" w:hAnsi="Times New Roman" w:eastAsia="方正小标宋_GBK" w:cs="Times New Roman"/>
          <w:bCs/>
          <w:color w:val="auto"/>
          <w:kern w:val="0"/>
          <w:sz w:val="32"/>
          <w:szCs w:val="32"/>
          <w:highlight w:val="none"/>
        </w:rPr>
        <w:t>第七节</w:t>
      </w:r>
      <w:r>
        <w:rPr>
          <w:rFonts w:hint="default" w:ascii="Times New Roman" w:hAnsi="Times New Roman" w:eastAsia="方正小标宋_GBK" w:cs="Times New Roman"/>
          <w:bCs/>
          <w:color w:val="auto"/>
          <w:kern w:val="0"/>
          <w:sz w:val="32"/>
          <w:szCs w:val="32"/>
          <w:highlight w:val="none"/>
          <w:lang w:val="en-US" w:eastAsia="zh-CN"/>
        </w:rPr>
        <w:t xml:space="preserve"> </w:t>
      </w:r>
      <w:r>
        <w:rPr>
          <w:rFonts w:hint="default" w:ascii="Times New Roman" w:hAnsi="Times New Roman" w:eastAsia="方正小标宋_GBK" w:cs="Times New Roman"/>
          <w:bCs/>
          <w:color w:val="auto"/>
          <w:kern w:val="0"/>
          <w:sz w:val="32"/>
          <w:szCs w:val="32"/>
          <w:highlight w:val="none"/>
        </w:rPr>
        <w:t>公司主要业务情况</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黑体_GBK" w:cs="Times New Roman"/>
          <w:bCs/>
          <w:color w:val="auto"/>
          <w:kern w:val="0"/>
          <w:sz w:val="32"/>
          <w:szCs w:val="32"/>
          <w:highlight w:val="none"/>
        </w:rPr>
      </w:pPr>
      <w:r>
        <w:rPr>
          <w:rFonts w:hint="default" w:ascii="Times New Roman" w:hAnsi="Times New Roman" w:eastAsia="方正黑体_GBK" w:cs="Times New Roman"/>
          <w:bCs/>
          <w:color w:val="auto"/>
          <w:kern w:val="0"/>
          <w:sz w:val="32"/>
          <w:szCs w:val="32"/>
          <w:highlight w:val="none"/>
        </w:rPr>
        <w:t>一、本公司整体经营情况</w:t>
      </w:r>
    </w:p>
    <w:p>
      <w:pPr>
        <w:keepNext w:val="0"/>
        <w:keepLines w:val="0"/>
        <w:pageBreakBefore w:val="0"/>
        <w:widowControl/>
        <w:kinsoku/>
        <w:wordWrap/>
        <w:overflowPunct/>
        <w:topLinePunct w:val="0"/>
        <w:autoSpaceDE/>
        <w:autoSpaceDN/>
        <w:bidi w:val="0"/>
        <w:spacing w:line="580" w:lineRule="exact"/>
        <w:ind w:firstLine="640" w:firstLineChars="200"/>
        <w:jc w:val="both"/>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 xml:space="preserve"> 20</w:t>
      </w:r>
      <w:r>
        <w:rPr>
          <w:rFonts w:hint="default" w:ascii="Times New Roman" w:hAnsi="Times New Roman" w:eastAsia="方正仿宋_GBK" w:cs="Times New Roman"/>
          <w:color w:val="auto"/>
          <w:kern w:val="0"/>
          <w:sz w:val="32"/>
          <w:szCs w:val="32"/>
          <w:highlight w:val="none"/>
          <w:lang w:val="en-US" w:eastAsia="zh-CN"/>
        </w:rPr>
        <w:t>2</w:t>
      </w:r>
      <w:r>
        <w:rPr>
          <w:rFonts w:hint="eastAsia" w:ascii="Times New Roman" w:hAnsi="Times New Roman" w:eastAsia="方正仿宋_GBK" w:cs="Times New Roman"/>
          <w:color w:val="auto"/>
          <w:kern w:val="0"/>
          <w:sz w:val="32"/>
          <w:szCs w:val="32"/>
          <w:highlight w:val="none"/>
          <w:lang w:val="en-US" w:eastAsia="zh-CN"/>
        </w:rPr>
        <w:t>2</w:t>
      </w:r>
      <w:r>
        <w:rPr>
          <w:rFonts w:hint="default" w:ascii="Times New Roman" w:hAnsi="Times New Roman" w:eastAsia="方正仿宋_GBK" w:cs="Times New Roman"/>
          <w:color w:val="auto"/>
          <w:kern w:val="0"/>
          <w:sz w:val="32"/>
          <w:szCs w:val="32"/>
          <w:highlight w:val="none"/>
        </w:rPr>
        <w:t>年，</w:t>
      </w:r>
      <w:r>
        <w:rPr>
          <w:rFonts w:hint="default" w:ascii="Times New Roman" w:hAnsi="Times New Roman" w:eastAsia="方正仿宋_GBK" w:cs="Times New Roman"/>
          <w:color w:val="auto"/>
          <w:kern w:val="0"/>
          <w:sz w:val="32"/>
          <w:szCs w:val="32"/>
          <w:highlight w:val="none"/>
          <w:lang w:eastAsia="zh-CN"/>
        </w:rPr>
        <w:t>石狮</w:t>
      </w:r>
      <w:r>
        <w:rPr>
          <w:rFonts w:hint="default" w:ascii="Times New Roman" w:hAnsi="Times New Roman" w:eastAsia="方正仿宋_GBK" w:cs="Times New Roman"/>
          <w:color w:val="auto"/>
          <w:kern w:val="0"/>
          <w:sz w:val="32"/>
          <w:szCs w:val="32"/>
          <w:highlight w:val="none"/>
        </w:rPr>
        <w:t>渝农商村镇银行（以下简称“本行”）严格按照“支农支小”的市场定位，努力防范和化解金融风险，加大对实体经济支持力度，保持了持续稳健发展。报告期内本行主要经营情况如下：</w:t>
      </w:r>
    </w:p>
    <w:p>
      <w:pPr>
        <w:keepNext w:val="0"/>
        <w:keepLines w:val="0"/>
        <w:pageBreakBefore w:val="0"/>
        <w:kinsoku/>
        <w:wordWrap/>
        <w:overflowPunct/>
        <w:topLinePunct w:val="0"/>
        <w:autoSpaceDE/>
        <w:autoSpaceDN/>
        <w:bidi w:val="0"/>
        <w:adjustRightInd w:val="0"/>
        <w:snapToGrid w:val="0"/>
        <w:spacing w:line="580" w:lineRule="exact"/>
        <w:ind w:firstLine="660"/>
        <w:rPr>
          <w:rFonts w:hint="eastAsia" w:ascii="Times New Roman" w:hAnsi="Times New Roman"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rPr>
        <w:t>2</w:t>
      </w:r>
      <w:r>
        <w:rPr>
          <w:rFonts w:ascii="Times New Roman" w:hAnsi="Times New Roman" w:eastAsia="方正仿宋_GBK"/>
          <w:sz w:val="32"/>
          <w:szCs w:val="32"/>
        </w:rPr>
        <w:t>年，围绕发起行制定的工作目标，我注重实干，积极主动、有的放矢，</w:t>
      </w:r>
      <w:r>
        <w:rPr>
          <w:rFonts w:hint="eastAsia" w:ascii="Times New Roman" w:hAnsi="Times New Roman" w:eastAsia="方正仿宋_GBK"/>
          <w:sz w:val="32"/>
          <w:szCs w:val="32"/>
        </w:rPr>
        <w:t>在泉州疫情的重大影响下力争最好结果</w:t>
      </w:r>
      <w:r>
        <w:rPr>
          <w:rFonts w:ascii="Times New Roman" w:hAnsi="Times New Roman" w:eastAsia="方正仿宋_GBK"/>
          <w:sz w:val="32"/>
          <w:szCs w:val="32"/>
        </w:rPr>
        <w:t>。</w:t>
      </w:r>
      <w:r>
        <w:rPr>
          <w:rFonts w:ascii="Times New Roman" w:hAnsi="Times New Roman" w:eastAsia="方正仿宋_GBK"/>
          <w:b/>
          <w:sz w:val="32"/>
          <w:szCs w:val="32"/>
        </w:rPr>
        <w:t>一是业务规模</w:t>
      </w:r>
      <w:r>
        <w:rPr>
          <w:rFonts w:hint="eastAsia" w:ascii="Times New Roman" w:hAnsi="Times New Roman" w:eastAsia="方正仿宋_GBK"/>
          <w:b/>
          <w:sz w:val="32"/>
          <w:szCs w:val="32"/>
        </w:rPr>
        <w:t>有进步</w:t>
      </w:r>
      <w:r>
        <w:rPr>
          <w:rFonts w:ascii="Times New Roman" w:hAnsi="Times New Roman" w:eastAsia="方正仿宋_GBK"/>
          <w:b/>
          <w:sz w:val="32"/>
          <w:szCs w:val="32"/>
        </w:rPr>
        <w:t>。</w:t>
      </w:r>
      <w:r>
        <w:rPr>
          <w:rFonts w:ascii="Times New Roman" w:hAnsi="Times New Roman" w:eastAsia="方正仿宋_GBK"/>
          <w:sz w:val="32"/>
          <w:szCs w:val="32"/>
        </w:rPr>
        <w:t>截至12月末，日均存款余额8210万元，比年初净增924万元，增幅12%。日均储蓄存款余额5609万元，比年初净增1367万元，增幅32%。全年累计投放各类贷款</w:t>
      </w:r>
      <w:r>
        <w:rPr>
          <w:rFonts w:hint="eastAsia" w:ascii="Times New Roman" w:hAnsi="Times New Roman" w:eastAsia="方正仿宋_GBK"/>
          <w:sz w:val="32"/>
          <w:szCs w:val="32"/>
        </w:rPr>
        <w:t>2.81</w:t>
      </w:r>
      <w:r>
        <w:rPr>
          <w:rFonts w:ascii="Times New Roman" w:hAnsi="Times New Roman" w:eastAsia="方正仿宋_GBK"/>
          <w:sz w:val="32"/>
          <w:szCs w:val="32"/>
        </w:rPr>
        <w:t>亿元，贷款余额3.17亿元，比年初净增2870万元，增幅</w:t>
      </w:r>
      <w:r>
        <w:rPr>
          <w:rFonts w:hint="eastAsia" w:ascii="Times New Roman" w:hAnsi="Times New Roman" w:eastAsia="方正仿宋_GBK"/>
          <w:sz w:val="32"/>
          <w:szCs w:val="32"/>
        </w:rPr>
        <w:t>10</w:t>
      </w:r>
      <w:r>
        <w:rPr>
          <w:rFonts w:ascii="Times New Roman" w:hAnsi="Times New Roman" w:eastAsia="方正仿宋_GBK"/>
          <w:sz w:val="32"/>
          <w:szCs w:val="32"/>
        </w:rPr>
        <w:t>%。日均贷款余额2.97亿元，比年初净增2852万元，增幅1</w:t>
      </w:r>
      <w:r>
        <w:rPr>
          <w:rFonts w:hint="eastAsia" w:ascii="Times New Roman" w:hAnsi="Times New Roman" w:eastAsia="方正仿宋_GBK"/>
          <w:sz w:val="32"/>
          <w:szCs w:val="32"/>
        </w:rPr>
        <w:t>1</w:t>
      </w:r>
      <w:r>
        <w:rPr>
          <w:rFonts w:ascii="Times New Roman" w:hAnsi="Times New Roman" w:eastAsia="方正仿宋_GBK"/>
          <w:sz w:val="32"/>
          <w:szCs w:val="32"/>
        </w:rPr>
        <w:t>%。</w:t>
      </w:r>
      <w:r>
        <w:rPr>
          <w:rFonts w:ascii="Times New Roman" w:hAnsi="Times New Roman" w:eastAsia="方正仿宋_GBK"/>
          <w:b/>
          <w:sz w:val="32"/>
          <w:szCs w:val="32"/>
        </w:rPr>
        <w:t>二是经营质效</w:t>
      </w:r>
      <w:r>
        <w:rPr>
          <w:rFonts w:hint="eastAsia" w:ascii="Times New Roman" w:hAnsi="Times New Roman" w:eastAsia="方正仿宋_GBK"/>
          <w:b/>
          <w:sz w:val="32"/>
          <w:szCs w:val="32"/>
        </w:rPr>
        <w:t>有</w:t>
      </w:r>
      <w:r>
        <w:rPr>
          <w:rFonts w:ascii="Times New Roman" w:hAnsi="Times New Roman" w:eastAsia="方正仿宋_GBK"/>
          <w:b/>
          <w:sz w:val="32"/>
          <w:szCs w:val="32"/>
        </w:rPr>
        <w:t>突破。</w:t>
      </w:r>
      <w:r>
        <w:rPr>
          <w:rFonts w:hint="eastAsia" w:ascii="Times New Roman" w:hAnsi="Times New Roman" w:eastAsia="方正仿宋_GBK"/>
          <w:sz w:val="32"/>
          <w:szCs w:val="32"/>
        </w:rPr>
        <w:t>全面</w:t>
      </w:r>
      <w:r>
        <w:rPr>
          <w:rFonts w:ascii="Times New Roman" w:hAnsi="Times New Roman" w:eastAsia="方正仿宋_GBK"/>
          <w:sz w:val="32"/>
          <w:szCs w:val="32"/>
        </w:rPr>
        <w:t>完成了“两增两控”的监管指标，贷款增量居泉州地区7家村镇银行第</w:t>
      </w:r>
      <w:r>
        <w:rPr>
          <w:rFonts w:hint="eastAsia" w:ascii="Times New Roman" w:hAnsi="Times New Roman" w:eastAsia="方正仿宋_GBK"/>
          <w:sz w:val="32"/>
          <w:szCs w:val="32"/>
        </w:rPr>
        <w:t>三</w:t>
      </w:r>
      <w:r>
        <w:rPr>
          <w:rFonts w:ascii="Times New Roman" w:hAnsi="Times New Roman" w:eastAsia="方正仿宋_GBK"/>
          <w:sz w:val="32"/>
          <w:szCs w:val="32"/>
        </w:rPr>
        <w:t>位，</w:t>
      </w:r>
      <w:r>
        <w:rPr>
          <w:rFonts w:hint="eastAsia" w:ascii="Times New Roman" w:hAnsi="Times New Roman" w:eastAsia="方正仿宋_GBK"/>
          <w:sz w:val="32"/>
          <w:szCs w:val="32"/>
        </w:rPr>
        <w:t>贷款规模稳居泉州地区村镇银行第四位。全年累计化解不良贷款119.62万元，不良贷款余额（考核口径）208.73万元、不良率（考核口径）0.66%，逾期率（考核口径）0.66%，不良率、逾期率始终控制在发起行目标之内。</w:t>
      </w:r>
      <w:r>
        <w:rPr>
          <w:rFonts w:hint="eastAsia" w:ascii="Times New Roman" w:hAnsi="Times New Roman" w:eastAsia="方正仿宋_GBK"/>
          <w:b/>
          <w:sz w:val="32"/>
          <w:szCs w:val="32"/>
        </w:rPr>
        <w:t>三是</w:t>
      </w:r>
      <w:r>
        <w:rPr>
          <w:rFonts w:ascii="Times New Roman" w:hAnsi="Times New Roman" w:eastAsia="方正仿宋_GBK"/>
          <w:b/>
          <w:sz w:val="32"/>
          <w:szCs w:val="32"/>
        </w:rPr>
        <w:t>经营效益</w:t>
      </w:r>
      <w:r>
        <w:rPr>
          <w:rFonts w:hint="eastAsia" w:ascii="Times New Roman" w:hAnsi="Times New Roman" w:eastAsia="方正仿宋_GBK"/>
          <w:b/>
          <w:sz w:val="32"/>
          <w:szCs w:val="32"/>
        </w:rPr>
        <w:t>有提高。</w:t>
      </w:r>
      <w:r>
        <w:rPr>
          <w:rFonts w:hint="eastAsia" w:ascii="Times New Roman" w:hAnsi="Times New Roman" w:eastAsia="方正仿宋_GBK"/>
          <w:sz w:val="32"/>
          <w:szCs w:val="32"/>
        </w:rPr>
        <w:t>实现营业收入1538万元，账面净利润153万元，拨备前利润343万元，完成发起行目标的95%。其中，贷款利息收入1493万元，较上年增加119万元，增幅9%。此外，通过努力，确保村镇银行坚守定位五项核心监管指标持续达标。</w:t>
      </w:r>
    </w:p>
    <w:p>
      <w:pPr>
        <w:keepNext w:val="0"/>
        <w:keepLines w:val="0"/>
        <w:pageBreakBefore w:val="0"/>
        <w:kinsoku/>
        <w:wordWrap/>
        <w:overflowPunct/>
        <w:topLinePunct w:val="0"/>
        <w:autoSpaceDE/>
        <w:autoSpaceDN/>
        <w:bidi w:val="0"/>
        <w:spacing w:line="580" w:lineRule="exact"/>
        <w:ind w:firstLine="640" w:firstLineChars="200"/>
        <w:rPr>
          <w:rFonts w:hint="default" w:ascii="Times New Roman" w:hAnsi="Times New Roman" w:eastAsia="方正黑体_GBK" w:cs="Times New Roman"/>
          <w:bCs/>
          <w:color w:val="auto"/>
          <w:kern w:val="0"/>
          <w:sz w:val="32"/>
          <w:szCs w:val="32"/>
          <w:highlight w:val="none"/>
        </w:rPr>
      </w:pPr>
      <w:r>
        <w:rPr>
          <w:rFonts w:hint="default" w:ascii="Times New Roman" w:hAnsi="Times New Roman" w:eastAsia="方正黑体_GBK" w:cs="Times New Roman"/>
          <w:bCs/>
          <w:color w:val="auto"/>
          <w:kern w:val="0"/>
          <w:sz w:val="32"/>
          <w:szCs w:val="32"/>
          <w:highlight w:val="none"/>
        </w:rPr>
        <w:t>二、支农支小业务开展情况</w:t>
      </w:r>
    </w:p>
    <w:p>
      <w:pPr>
        <w:keepNext w:val="0"/>
        <w:keepLines w:val="0"/>
        <w:pageBreakBefore w:val="0"/>
        <w:widowControl w:val="0"/>
        <w:kinsoku/>
        <w:wordWrap/>
        <w:overflowPunct/>
        <w:topLinePunct w:val="0"/>
        <w:autoSpaceDE/>
        <w:autoSpaceDN/>
        <w:bidi w:val="0"/>
        <w:spacing w:line="580" w:lineRule="exact"/>
        <w:ind w:firstLine="643"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楷体_GBK" w:cs="Times New Roman"/>
          <w:b/>
          <w:bCs/>
          <w:color w:val="auto"/>
          <w:sz w:val="32"/>
          <w:szCs w:val="32"/>
          <w:highlight w:val="none"/>
          <w:lang w:val="zh-CN"/>
        </w:rPr>
        <w:t>（一）坚守市场定位</w:t>
      </w:r>
      <w:r>
        <w:rPr>
          <w:rFonts w:hint="default" w:ascii="Times New Roman" w:hAnsi="Times New Roman" w:eastAsia="方正仿宋_GBK" w:cs="Times New Roman"/>
          <w:color w:val="auto"/>
          <w:sz w:val="32"/>
          <w:szCs w:val="32"/>
          <w:highlight w:val="none"/>
          <w:lang w:val="zh-CN"/>
        </w:rPr>
        <w:t>。</w:t>
      </w:r>
      <w:r>
        <w:rPr>
          <w:rFonts w:hint="default" w:ascii="Times New Roman" w:hAnsi="Times New Roman" w:eastAsia="方正仿宋_GBK" w:cs="Times New Roman"/>
          <w:sz w:val="32"/>
          <w:szCs w:val="32"/>
          <w:highlight w:val="none"/>
          <w:lang w:val="en-US" w:eastAsia="zh-CN"/>
        </w:rPr>
        <w:t>20</w:t>
      </w:r>
      <w:r>
        <w:rPr>
          <w:rFonts w:hint="eastAsia" w:ascii="Times New Roman" w:hAnsi="Times New Roman" w:eastAsia="方正仿宋_GBK" w:cs="Times New Roman"/>
          <w:sz w:val="32"/>
          <w:szCs w:val="32"/>
          <w:highlight w:val="none"/>
          <w:lang w:val="en-US" w:eastAsia="zh-CN"/>
        </w:rPr>
        <w:t>22</w:t>
      </w:r>
      <w:r>
        <w:rPr>
          <w:rFonts w:hint="default" w:ascii="Times New Roman" w:hAnsi="Times New Roman" w:eastAsia="方正仿宋_GBK" w:cs="Times New Roman"/>
          <w:sz w:val="32"/>
          <w:szCs w:val="32"/>
          <w:highlight w:val="none"/>
          <w:lang w:val="en-US" w:eastAsia="zh-CN"/>
        </w:rPr>
        <w:t>年，我行聚焦主业主责、突出支农支小、做小做散，在支持农户和小微企业、助力民营实体企业抗疫及复工复产及县域经济发展发挥了重要作用，已成为扎根县域、支农支小、服务三农及乡村振兴的生力军。截止20</w:t>
      </w:r>
      <w:r>
        <w:rPr>
          <w:rFonts w:hint="eastAsia" w:ascii="Times New Roman" w:hAnsi="Times New Roman" w:eastAsia="方正仿宋_GBK" w:cs="Times New Roman"/>
          <w:sz w:val="32"/>
          <w:szCs w:val="32"/>
          <w:highlight w:val="none"/>
          <w:lang w:val="en-US" w:eastAsia="zh-CN"/>
        </w:rPr>
        <w:t>22</w:t>
      </w:r>
      <w:r>
        <w:rPr>
          <w:rFonts w:hint="default" w:ascii="Times New Roman" w:hAnsi="Times New Roman" w:eastAsia="方正仿宋_GBK" w:cs="Times New Roman"/>
          <w:sz w:val="32"/>
          <w:szCs w:val="32"/>
          <w:highlight w:val="none"/>
          <w:lang w:val="en-US" w:eastAsia="zh-CN"/>
        </w:rPr>
        <w:t>年末，农户及小微贷款</w:t>
      </w:r>
      <w:r>
        <w:rPr>
          <w:rFonts w:hint="eastAsia" w:ascii="Times New Roman" w:hAnsi="Times New Roman" w:eastAsia="方正仿宋_GBK" w:cs="Times New Roman"/>
          <w:sz w:val="32"/>
          <w:szCs w:val="32"/>
          <w:highlight w:val="none"/>
          <w:lang w:val="en-US" w:eastAsia="zh-CN"/>
        </w:rPr>
        <w:t>29355万元</w:t>
      </w:r>
      <w:r>
        <w:rPr>
          <w:rFonts w:hint="default" w:ascii="Times New Roman" w:hAnsi="Times New Roman" w:eastAsia="方正仿宋_GBK" w:cs="Times New Roman"/>
          <w:sz w:val="32"/>
          <w:szCs w:val="32"/>
          <w:highlight w:val="none"/>
          <w:lang w:val="en-US" w:eastAsia="zh-CN"/>
        </w:rPr>
        <w:t>，占各项贷款</w:t>
      </w:r>
      <w:r>
        <w:rPr>
          <w:rFonts w:hint="eastAsia" w:ascii="Times New Roman" w:hAnsi="Times New Roman" w:eastAsia="方正仿宋_GBK" w:cs="Times New Roman"/>
          <w:sz w:val="32"/>
          <w:szCs w:val="32"/>
          <w:highlight w:val="none"/>
          <w:lang w:val="en-US" w:eastAsia="zh-CN"/>
        </w:rPr>
        <w:t>92.48%</w:t>
      </w: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全年保持符合监管规定</w:t>
      </w:r>
      <w:r>
        <w:rPr>
          <w:rFonts w:hint="default" w:ascii="Times New Roman" w:hAnsi="Times New Roman" w:eastAsia="方正仿宋_GBK" w:cs="Times New Roman"/>
          <w:sz w:val="32"/>
          <w:szCs w:val="32"/>
          <w:highlight w:val="none"/>
          <w:lang w:val="en-US" w:eastAsia="zh-CN"/>
        </w:rPr>
        <w:t>，余额及增量占比都居中辖区内金融机构前列。户均贷款</w:t>
      </w:r>
      <w:r>
        <w:rPr>
          <w:rFonts w:hint="eastAsia" w:ascii="Times New Roman" w:hAnsi="Times New Roman" w:eastAsia="方正仿宋_GBK" w:cs="Times New Roman"/>
          <w:sz w:val="32"/>
          <w:szCs w:val="32"/>
          <w:highlight w:val="none"/>
          <w:lang w:val="en-US" w:eastAsia="zh-CN"/>
        </w:rPr>
        <w:t>29.95万元</w:t>
      </w: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符合监管要求</w:t>
      </w:r>
      <w:r>
        <w:rPr>
          <w:rFonts w:hint="default" w:ascii="Times New Roman" w:hAnsi="Times New Roman" w:eastAsia="方正仿宋_GBK" w:cs="Times New Roman"/>
          <w:sz w:val="32"/>
          <w:szCs w:val="32"/>
          <w:highlight w:val="none"/>
          <w:lang w:val="en-US" w:eastAsia="zh-CN"/>
        </w:rPr>
        <w:t>。经营性贷款余额</w:t>
      </w:r>
      <w:r>
        <w:rPr>
          <w:rFonts w:hint="eastAsia" w:ascii="Times New Roman" w:hAnsi="Times New Roman" w:eastAsia="方正仿宋_GBK" w:cs="Times New Roman"/>
          <w:sz w:val="32"/>
          <w:szCs w:val="32"/>
          <w:highlight w:val="none"/>
          <w:lang w:val="en-US" w:eastAsia="zh-CN"/>
        </w:rPr>
        <w:t>21270万元</w:t>
      </w:r>
      <w:r>
        <w:rPr>
          <w:rFonts w:hint="default" w:ascii="Times New Roman" w:hAnsi="Times New Roman" w:eastAsia="方正仿宋_GBK" w:cs="Times New Roman"/>
          <w:sz w:val="32"/>
          <w:szCs w:val="32"/>
          <w:highlight w:val="none"/>
          <w:lang w:val="en-US" w:eastAsia="zh-CN"/>
        </w:rPr>
        <w:t>，比年初增加</w:t>
      </w:r>
      <w:r>
        <w:rPr>
          <w:rFonts w:hint="eastAsia" w:ascii="Times New Roman" w:hAnsi="Times New Roman" w:eastAsia="方正仿宋_GBK" w:cs="Times New Roman"/>
          <w:sz w:val="32"/>
          <w:szCs w:val="32"/>
          <w:highlight w:val="none"/>
          <w:lang w:val="en-US" w:eastAsia="zh-CN"/>
        </w:rPr>
        <w:t>2097万元</w:t>
      </w:r>
      <w:r>
        <w:rPr>
          <w:rFonts w:hint="default" w:ascii="Times New Roman" w:hAnsi="Times New Roman" w:eastAsia="方正仿宋_GBK" w:cs="Times New Roman"/>
          <w:sz w:val="32"/>
          <w:szCs w:val="32"/>
          <w:highlight w:val="none"/>
          <w:lang w:val="en-US" w:eastAsia="zh-CN"/>
        </w:rPr>
        <w:t>；100万元以下贷款占比</w:t>
      </w:r>
      <w:r>
        <w:rPr>
          <w:rFonts w:hint="eastAsia" w:ascii="Times New Roman" w:hAnsi="Times New Roman" w:eastAsia="方正仿宋_GBK" w:cs="Times New Roman"/>
          <w:sz w:val="32"/>
          <w:szCs w:val="32"/>
          <w:highlight w:val="none"/>
          <w:lang w:val="en-US" w:eastAsia="zh-CN"/>
        </w:rPr>
        <w:t>99.62</w:t>
      </w:r>
      <w:r>
        <w:rPr>
          <w:rFonts w:hint="default" w:ascii="Times New Roman" w:hAnsi="Times New Roman" w:eastAsia="方正仿宋_GBK" w:cs="Times New Roman"/>
          <w:sz w:val="32"/>
          <w:szCs w:val="32"/>
          <w:highlight w:val="none"/>
          <w:lang w:val="en-US" w:eastAsia="zh-CN"/>
        </w:rPr>
        <w:t>%。全年新发放</w:t>
      </w:r>
      <w:r>
        <w:rPr>
          <w:rFonts w:hint="eastAsia" w:ascii="Times New Roman" w:hAnsi="Times New Roman" w:eastAsia="方正仿宋_GBK" w:cs="Times New Roman"/>
          <w:sz w:val="32"/>
          <w:szCs w:val="32"/>
          <w:highlight w:val="none"/>
          <w:lang w:val="en-US" w:eastAsia="zh-CN"/>
        </w:rPr>
        <w:t>普惠</w:t>
      </w:r>
      <w:r>
        <w:rPr>
          <w:rFonts w:hint="default" w:ascii="Times New Roman" w:hAnsi="Times New Roman" w:eastAsia="方正仿宋_GBK" w:cs="Times New Roman"/>
          <w:color w:val="auto"/>
          <w:sz w:val="32"/>
          <w:szCs w:val="32"/>
          <w:highlight w:val="none"/>
          <w:lang w:val="en-US" w:eastAsia="zh-CN"/>
        </w:rPr>
        <w:t>小微企业客户贷款利率同比降低</w:t>
      </w:r>
      <w:r>
        <w:rPr>
          <w:rFonts w:hint="eastAsia" w:ascii="Times New Roman" w:hAnsi="Times New Roman" w:eastAsia="方正仿宋_GBK" w:cs="Times New Roman"/>
          <w:color w:val="auto"/>
          <w:sz w:val="32"/>
          <w:szCs w:val="32"/>
          <w:highlight w:val="none"/>
          <w:lang w:val="en-US" w:eastAsia="zh-CN"/>
        </w:rPr>
        <w:t>0.2</w:t>
      </w:r>
      <w:r>
        <w:rPr>
          <w:rFonts w:hint="default" w:ascii="Times New Roman" w:hAnsi="Times New Roman" w:eastAsia="方正仿宋_GBK" w:cs="Times New Roman"/>
          <w:color w:val="auto"/>
          <w:sz w:val="32"/>
          <w:szCs w:val="32"/>
          <w:highlight w:val="none"/>
          <w:lang w:val="en-US" w:eastAsia="zh-CN"/>
        </w:rPr>
        <w:t>个百分点；因疫情影响为小微企业客户延期还本</w:t>
      </w:r>
      <w:r>
        <w:rPr>
          <w:rFonts w:hint="eastAsia" w:ascii="Times New Roman" w:hAnsi="Times New Roman" w:eastAsia="方正仿宋_GBK" w:cs="Times New Roman"/>
          <w:color w:val="auto"/>
          <w:sz w:val="32"/>
          <w:szCs w:val="32"/>
          <w:highlight w:val="none"/>
          <w:lang w:val="en-US" w:eastAsia="zh-CN"/>
        </w:rPr>
        <w:t>165</w:t>
      </w:r>
      <w:r>
        <w:rPr>
          <w:rFonts w:hint="default" w:ascii="Times New Roman" w:hAnsi="Times New Roman" w:eastAsia="方正仿宋_GBK" w:cs="Times New Roman"/>
          <w:color w:val="auto"/>
          <w:sz w:val="32"/>
          <w:szCs w:val="32"/>
          <w:highlight w:val="none"/>
          <w:lang w:val="en-US" w:eastAsia="zh-CN"/>
        </w:rPr>
        <w:t>户</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金额</w:t>
      </w:r>
      <w:r>
        <w:rPr>
          <w:rFonts w:hint="eastAsia" w:ascii="Times New Roman" w:hAnsi="Times New Roman" w:eastAsia="方正仿宋_GBK" w:cs="Times New Roman"/>
          <w:color w:val="auto"/>
          <w:sz w:val="32"/>
          <w:szCs w:val="32"/>
          <w:highlight w:val="none"/>
          <w:lang w:val="en-US" w:eastAsia="zh-CN"/>
        </w:rPr>
        <w:t>8132</w:t>
      </w:r>
      <w:r>
        <w:rPr>
          <w:rFonts w:hint="default" w:ascii="Times New Roman" w:hAnsi="Times New Roman" w:eastAsia="方正仿宋_GBK" w:cs="Times New Roman"/>
          <w:color w:val="auto"/>
          <w:sz w:val="32"/>
          <w:szCs w:val="32"/>
          <w:highlight w:val="none"/>
          <w:lang w:val="en-US" w:eastAsia="zh-CN"/>
        </w:rPr>
        <w:t>万元，让利近</w:t>
      </w:r>
      <w:r>
        <w:rPr>
          <w:rFonts w:hint="eastAsia" w:ascii="Times New Roman" w:hAnsi="Times New Roman" w:eastAsia="方正仿宋_GBK" w:cs="Times New Roman"/>
          <w:color w:val="auto"/>
          <w:sz w:val="32"/>
          <w:szCs w:val="32"/>
          <w:highlight w:val="none"/>
          <w:lang w:val="en-US" w:eastAsia="zh-CN"/>
        </w:rPr>
        <w:t>50</w:t>
      </w:r>
      <w:r>
        <w:rPr>
          <w:rFonts w:hint="default" w:ascii="Times New Roman" w:hAnsi="Times New Roman" w:eastAsia="方正仿宋_GBK" w:cs="Times New Roman"/>
          <w:color w:val="auto"/>
          <w:sz w:val="32"/>
          <w:szCs w:val="32"/>
          <w:highlight w:val="none"/>
          <w:lang w:val="en-US" w:eastAsia="zh-CN"/>
        </w:rPr>
        <w:t>万元。</w:t>
      </w:r>
      <w:r>
        <w:rPr>
          <w:rFonts w:hint="default" w:ascii="Times New Roman" w:hAnsi="Times New Roman" w:eastAsia="方正仿宋_GBK" w:cs="Times New Roman"/>
          <w:sz w:val="32"/>
          <w:szCs w:val="32"/>
          <w:highlight w:val="none"/>
          <w:lang w:val="en-US" w:eastAsia="zh-CN"/>
        </w:rPr>
        <w:t>两增两控、涉农贷款、经营性及中长期贷款占比、减费让利等定位及政策要求指标全部达标，社会责任担当尽职。</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Times New Roman" w:hAnsi="Times New Roman" w:eastAsia="方正楷体_GBK" w:cs="Times New Roman"/>
          <w:b/>
          <w:bCs/>
          <w:color w:val="auto"/>
          <w:sz w:val="32"/>
          <w:szCs w:val="32"/>
          <w:highlight w:val="none"/>
          <w:lang w:val="zh-CN"/>
        </w:rPr>
      </w:pPr>
      <w:r>
        <w:rPr>
          <w:rFonts w:hint="default" w:ascii="Times New Roman" w:hAnsi="Times New Roman" w:eastAsia="方正楷体_GBK" w:cs="Times New Roman"/>
          <w:b/>
          <w:bCs/>
          <w:color w:val="auto"/>
          <w:sz w:val="32"/>
          <w:szCs w:val="32"/>
          <w:highlight w:val="none"/>
          <w:lang w:val="zh-CN" w:eastAsia="zh-CN"/>
        </w:rPr>
        <w:t>（二）服务小微企业实体</w:t>
      </w:r>
      <w:r>
        <w:rPr>
          <w:rFonts w:hint="default" w:ascii="Times New Roman" w:hAnsi="Times New Roman" w:eastAsia="方正楷体_GBK" w:cs="Times New Roman"/>
          <w:b/>
          <w:bCs/>
          <w:color w:val="auto"/>
          <w:sz w:val="32"/>
          <w:szCs w:val="32"/>
          <w:highlight w:val="none"/>
          <w:lang w:val="zh-CN"/>
        </w:rPr>
        <w:t>经济。</w:t>
      </w:r>
    </w:p>
    <w:p>
      <w:pPr>
        <w:pStyle w:val="17"/>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b/>
          <w:bCs/>
          <w:sz w:val="32"/>
          <w:szCs w:val="32"/>
          <w:highlight w:val="none"/>
          <w:lang w:val="en-US" w:eastAsia="zh-CN"/>
        </w:rPr>
        <w:t>1.小微企业整体经营情况及发展趋势。</w:t>
      </w:r>
      <w:r>
        <w:rPr>
          <w:rFonts w:hint="default" w:ascii="Times New Roman" w:hAnsi="Times New Roman" w:eastAsia="方正仿宋_GBK" w:cs="Times New Roman"/>
          <w:sz w:val="32"/>
          <w:szCs w:val="32"/>
          <w:highlight w:val="none"/>
          <w:lang w:val="en-US" w:eastAsia="zh-CN"/>
        </w:rPr>
        <w:t>20</w:t>
      </w:r>
      <w:r>
        <w:rPr>
          <w:rFonts w:hint="eastAsia" w:ascii="Times New Roman" w:hAnsi="Times New Roman" w:eastAsia="方正仿宋_GBK" w:cs="Times New Roman"/>
          <w:sz w:val="32"/>
          <w:szCs w:val="32"/>
          <w:highlight w:val="none"/>
          <w:lang w:val="en-US" w:eastAsia="zh-CN"/>
        </w:rPr>
        <w:t>22</w:t>
      </w:r>
      <w:r>
        <w:rPr>
          <w:rFonts w:hint="default" w:ascii="Times New Roman" w:hAnsi="Times New Roman" w:eastAsia="方正仿宋_GBK" w:cs="Times New Roman"/>
          <w:sz w:val="32"/>
          <w:szCs w:val="32"/>
          <w:highlight w:val="none"/>
          <w:lang w:val="en-US" w:eastAsia="zh-CN"/>
        </w:rPr>
        <w:t>年，我行业聚焦主业主责、突出支农支小、做小做散，在支持小微企业及县域经济发展发挥了重要作用，已成为扎根县域、支农支小的生力军。我行专注服务小微企业经济实体的主要为业务发展部，截止20</w:t>
      </w:r>
      <w:r>
        <w:rPr>
          <w:rFonts w:hint="eastAsia" w:ascii="Times New Roman" w:hAnsi="Times New Roman" w:eastAsia="方正仿宋_GBK" w:cs="Times New Roman"/>
          <w:sz w:val="32"/>
          <w:szCs w:val="32"/>
          <w:highlight w:val="none"/>
          <w:lang w:val="en-US" w:eastAsia="zh-CN"/>
        </w:rPr>
        <w:t>22</w:t>
      </w:r>
      <w:r>
        <w:rPr>
          <w:rFonts w:hint="default" w:ascii="Times New Roman" w:hAnsi="Times New Roman" w:eastAsia="方正仿宋_GBK" w:cs="Times New Roman"/>
          <w:sz w:val="32"/>
          <w:szCs w:val="32"/>
          <w:highlight w:val="none"/>
          <w:lang w:val="en-US" w:eastAsia="zh-CN"/>
        </w:rPr>
        <w:t>年末普惠型小微贷款余额</w:t>
      </w:r>
      <w:r>
        <w:rPr>
          <w:rFonts w:hint="eastAsia" w:ascii="Times New Roman" w:hAnsi="Times New Roman" w:eastAsia="方正仿宋_GBK" w:cs="Times New Roman"/>
          <w:sz w:val="32"/>
          <w:szCs w:val="32"/>
          <w:highlight w:val="none"/>
          <w:lang w:val="en-US" w:eastAsia="zh-CN"/>
        </w:rPr>
        <w:t>21270</w:t>
      </w:r>
      <w:r>
        <w:rPr>
          <w:rFonts w:hint="default" w:ascii="Times New Roman" w:hAnsi="Times New Roman" w:eastAsia="方正仿宋_GBK" w:cs="Times New Roman"/>
          <w:sz w:val="32"/>
          <w:szCs w:val="32"/>
          <w:highlight w:val="none"/>
          <w:lang w:val="en-US" w:eastAsia="zh-CN"/>
        </w:rPr>
        <w:t>万元，较年初增长</w:t>
      </w:r>
      <w:r>
        <w:rPr>
          <w:rFonts w:hint="eastAsia" w:ascii="Times New Roman" w:hAnsi="Times New Roman" w:eastAsia="方正仿宋_GBK" w:cs="Times New Roman"/>
          <w:sz w:val="32"/>
          <w:szCs w:val="32"/>
          <w:highlight w:val="none"/>
          <w:lang w:val="en-US" w:eastAsia="zh-CN"/>
        </w:rPr>
        <w:t>2097万元</w:t>
      </w:r>
      <w:r>
        <w:rPr>
          <w:rFonts w:hint="default" w:ascii="Times New Roman" w:hAnsi="Times New Roman" w:eastAsia="方正仿宋_GBK" w:cs="Times New Roman"/>
          <w:sz w:val="32"/>
          <w:szCs w:val="32"/>
          <w:highlight w:val="none"/>
          <w:lang w:val="en-US" w:eastAsia="zh-CN"/>
        </w:rPr>
        <w:t>，增速为</w:t>
      </w:r>
      <w:r>
        <w:rPr>
          <w:rFonts w:hint="eastAsia" w:ascii="Times New Roman" w:hAnsi="Times New Roman" w:eastAsia="方正仿宋_GBK" w:cs="Times New Roman"/>
          <w:sz w:val="32"/>
          <w:szCs w:val="32"/>
          <w:highlight w:val="none"/>
          <w:lang w:val="en-US" w:eastAsia="zh-CN"/>
        </w:rPr>
        <w:t>10.94</w:t>
      </w:r>
      <w:r>
        <w:rPr>
          <w:rFonts w:hint="default" w:ascii="Times New Roman" w:hAnsi="Times New Roman" w:eastAsia="方正仿宋_GBK" w:cs="Times New Roman"/>
          <w:sz w:val="32"/>
          <w:szCs w:val="32"/>
          <w:highlight w:val="none"/>
          <w:lang w:val="en-US" w:eastAsia="zh-CN"/>
        </w:rPr>
        <w:t>%，其增速较各项贷款高</w:t>
      </w:r>
      <w:r>
        <w:rPr>
          <w:rFonts w:hint="eastAsia" w:ascii="Times New Roman" w:hAnsi="Times New Roman" w:eastAsia="方正仿宋_GBK" w:cs="Times New Roman"/>
          <w:sz w:val="32"/>
          <w:szCs w:val="32"/>
          <w:highlight w:val="none"/>
          <w:lang w:val="en-US" w:eastAsia="zh-CN"/>
        </w:rPr>
        <w:t>1.51</w:t>
      </w:r>
      <w:r>
        <w:rPr>
          <w:rFonts w:hint="default" w:ascii="Times New Roman" w:hAnsi="Times New Roman" w:eastAsia="方正仿宋_GBK" w:cs="Times New Roman"/>
          <w:sz w:val="32"/>
          <w:szCs w:val="32"/>
          <w:highlight w:val="none"/>
          <w:lang w:val="en-US" w:eastAsia="zh-CN"/>
        </w:rPr>
        <w:t>%。小微企业客户</w:t>
      </w:r>
      <w:r>
        <w:rPr>
          <w:rFonts w:hint="eastAsia" w:ascii="Times New Roman" w:hAnsi="Times New Roman" w:eastAsia="方正仿宋_GBK" w:cs="Times New Roman"/>
          <w:sz w:val="32"/>
          <w:szCs w:val="32"/>
          <w:highlight w:val="none"/>
          <w:lang w:val="en-US" w:eastAsia="zh-CN"/>
        </w:rPr>
        <w:t>372</w:t>
      </w:r>
      <w:r>
        <w:rPr>
          <w:rFonts w:hint="default" w:ascii="Times New Roman" w:hAnsi="Times New Roman" w:eastAsia="方正仿宋_GBK" w:cs="Times New Roman"/>
          <w:sz w:val="32"/>
          <w:szCs w:val="32"/>
          <w:highlight w:val="none"/>
          <w:lang w:val="en-US" w:eastAsia="zh-CN"/>
        </w:rPr>
        <w:t>户，</w:t>
      </w:r>
      <w:r>
        <w:rPr>
          <w:rFonts w:hint="default" w:ascii="Times New Roman" w:hAnsi="Times New Roman" w:eastAsia="方正仿宋_GBK" w:cs="Times New Roman"/>
          <w:color w:val="000000"/>
          <w:sz w:val="32"/>
          <w:szCs w:val="32"/>
          <w:highlight w:val="none"/>
          <w:lang w:val="en-US" w:eastAsia="zh-CN"/>
        </w:rPr>
        <w:t>因疫情影响为小微企业客户延期还本</w:t>
      </w:r>
      <w:r>
        <w:rPr>
          <w:rFonts w:hint="eastAsia" w:ascii="Times New Roman" w:hAnsi="Times New Roman" w:eastAsia="方正仿宋_GBK" w:cs="Times New Roman"/>
          <w:color w:val="000000"/>
          <w:sz w:val="32"/>
          <w:szCs w:val="32"/>
          <w:highlight w:val="none"/>
          <w:lang w:val="en-US" w:eastAsia="zh-CN"/>
        </w:rPr>
        <w:t>165</w:t>
      </w:r>
      <w:r>
        <w:rPr>
          <w:rFonts w:hint="default" w:ascii="Times New Roman" w:hAnsi="Times New Roman" w:eastAsia="方正仿宋_GBK" w:cs="Times New Roman"/>
          <w:color w:val="000000"/>
          <w:sz w:val="32"/>
          <w:szCs w:val="32"/>
          <w:highlight w:val="none"/>
          <w:lang w:val="en-US" w:eastAsia="zh-CN"/>
        </w:rPr>
        <w:t>户</w:t>
      </w:r>
      <w:r>
        <w:rPr>
          <w:rFonts w:hint="eastAsia"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lang w:val="en-US" w:eastAsia="zh-CN"/>
        </w:rPr>
        <w:t>金额</w:t>
      </w:r>
      <w:r>
        <w:rPr>
          <w:rFonts w:hint="eastAsia" w:ascii="Times New Roman" w:hAnsi="Times New Roman" w:eastAsia="方正仿宋_GBK" w:cs="Times New Roman"/>
          <w:color w:val="000000"/>
          <w:sz w:val="32"/>
          <w:szCs w:val="32"/>
          <w:highlight w:val="none"/>
          <w:lang w:val="en-US" w:eastAsia="zh-CN"/>
        </w:rPr>
        <w:t>8132</w:t>
      </w:r>
      <w:r>
        <w:rPr>
          <w:rFonts w:hint="default" w:ascii="Times New Roman" w:hAnsi="Times New Roman" w:eastAsia="方正仿宋_GBK" w:cs="Times New Roman"/>
          <w:color w:val="000000"/>
          <w:sz w:val="32"/>
          <w:szCs w:val="32"/>
          <w:highlight w:val="none"/>
          <w:lang w:val="en-US" w:eastAsia="zh-CN"/>
        </w:rPr>
        <w:t>万元，让利近</w:t>
      </w:r>
      <w:r>
        <w:rPr>
          <w:rFonts w:hint="eastAsia" w:ascii="Times New Roman" w:hAnsi="Times New Roman" w:eastAsia="方正仿宋_GBK" w:cs="Times New Roman"/>
          <w:color w:val="000000"/>
          <w:sz w:val="32"/>
          <w:szCs w:val="32"/>
          <w:highlight w:val="none"/>
          <w:lang w:val="en-US" w:eastAsia="zh-CN"/>
        </w:rPr>
        <w:t>50</w:t>
      </w:r>
      <w:r>
        <w:rPr>
          <w:rFonts w:hint="default" w:ascii="Times New Roman" w:hAnsi="Times New Roman" w:eastAsia="方正仿宋_GBK" w:cs="Times New Roman"/>
          <w:color w:val="000000"/>
          <w:sz w:val="32"/>
          <w:szCs w:val="32"/>
          <w:highlight w:val="none"/>
          <w:lang w:val="en-US" w:eastAsia="zh-CN"/>
        </w:rPr>
        <w:t>万元。</w:t>
      </w:r>
    </w:p>
    <w:p>
      <w:pPr>
        <w:keepNext w:val="0"/>
        <w:keepLines w:val="0"/>
        <w:pageBreakBefore w:val="0"/>
        <w:numPr>
          <w:ilvl w:val="0"/>
          <w:numId w:val="0"/>
        </w:numPr>
        <w:kinsoku/>
        <w:wordWrap/>
        <w:overflowPunct/>
        <w:topLinePunct w:val="0"/>
        <w:autoSpaceDE/>
        <w:autoSpaceDN/>
        <w:bidi w:val="0"/>
        <w:spacing w:beforeLines="0" w:afterLines="0" w:line="580" w:lineRule="exact"/>
        <w:ind w:firstLine="643" w:firstLineChars="200"/>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b/>
          <w:bCs/>
          <w:color w:val="000000"/>
          <w:kern w:val="2"/>
          <w:sz w:val="32"/>
          <w:szCs w:val="32"/>
          <w:highlight w:val="none"/>
          <w:lang w:val="en-US" w:eastAsia="zh-CN" w:bidi="ar-SA"/>
        </w:rPr>
        <w:t>2.小微企业信贷政策及落实情况。</w:t>
      </w:r>
      <w:r>
        <w:rPr>
          <w:rFonts w:hint="default" w:ascii="Times New Roman" w:hAnsi="Times New Roman" w:eastAsia="方正仿宋_GBK" w:cs="Times New Roman"/>
          <w:color w:val="000000"/>
          <w:sz w:val="32"/>
          <w:szCs w:val="32"/>
          <w:highlight w:val="none"/>
        </w:rPr>
        <w:t>一是针对小微企业的资金需求的短、频、急，又无担保物的特点，针对推出小企业便捷贷及发展贷款、个体经营户信用贷款、农村专业大户信用贷款、个人助业贷等贷款品种，有信用的、弱担保的，有期限长达10年的、可随借随还的，较好地满足了不同类型客户的融资需求。二是适度放宽抵质押担保物范围。适度接受以专用机器设备、土地经营权为贷款的抵质押担保物。</w:t>
      </w:r>
      <w:r>
        <w:rPr>
          <w:rFonts w:hint="eastAsia" w:ascii="Times New Roman" w:hAnsi="Times New Roman" w:eastAsia="方正仿宋_GBK" w:cs="Times New Roman"/>
          <w:color w:val="000000"/>
          <w:sz w:val="32"/>
          <w:szCs w:val="32"/>
          <w:highlight w:val="none"/>
          <w:lang w:eastAsia="zh-CN"/>
        </w:rPr>
        <w:t>三</w:t>
      </w:r>
      <w:r>
        <w:rPr>
          <w:rFonts w:hint="default" w:ascii="Times New Roman" w:hAnsi="Times New Roman" w:eastAsia="方正仿宋_GBK" w:cs="Times New Roman"/>
          <w:color w:val="000000"/>
          <w:sz w:val="32"/>
          <w:szCs w:val="32"/>
          <w:highlight w:val="none"/>
        </w:rPr>
        <w:t>是推出中小微企业经营性贷款无还本续贷业务，有效解决中小微企业到期贷款资金紧张的困境</w:t>
      </w:r>
      <w:r>
        <w:rPr>
          <w:rFonts w:hint="default" w:ascii="Times New Roman" w:hAnsi="Times New Roman" w:eastAsia="方正仿宋_GBK" w:cs="Times New Roman"/>
          <w:color w:val="000000"/>
          <w:sz w:val="32"/>
          <w:szCs w:val="32"/>
          <w:highlight w:val="none"/>
          <w:lang w:val="en-US" w:eastAsia="zh-CN"/>
        </w:rPr>
        <w:t>。</w:t>
      </w:r>
      <w:r>
        <w:rPr>
          <w:rFonts w:hint="eastAsia" w:ascii="Times New Roman" w:hAnsi="Times New Roman" w:eastAsia="方正仿宋_GBK" w:cs="Times New Roman"/>
          <w:color w:val="000000"/>
          <w:sz w:val="32"/>
          <w:szCs w:val="32"/>
          <w:highlight w:val="none"/>
          <w:lang w:val="en-US" w:eastAsia="zh-CN"/>
        </w:rPr>
        <w:t>四</w:t>
      </w:r>
      <w:r>
        <w:rPr>
          <w:rFonts w:hint="default" w:ascii="Times New Roman" w:hAnsi="Times New Roman" w:eastAsia="方正仿宋_GBK" w:cs="Times New Roman"/>
          <w:color w:val="000000"/>
          <w:sz w:val="32"/>
          <w:szCs w:val="32"/>
          <w:highlight w:val="none"/>
          <w:lang w:val="en-US" w:eastAsia="zh-CN"/>
        </w:rPr>
        <w:t>是始终秉承让客户少跑路，不跑路的原则，创新线上支用产品，截止12月末共计</w:t>
      </w:r>
      <w:r>
        <w:rPr>
          <w:rFonts w:hint="eastAsia" w:ascii="Times New Roman" w:hAnsi="Times New Roman" w:eastAsia="方正仿宋_GBK" w:cs="Times New Roman"/>
          <w:color w:val="000000"/>
          <w:sz w:val="32"/>
          <w:szCs w:val="32"/>
          <w:highlight w:val="none"/>
          <w:lang w:val="en-US" w:eastAsia="zh-CN"/>
        </w:rPr>
        <w:t>112</w:t>
      </w:r>
      <w:r>
        <w:rPr>
          <w:rFonts w:hint="default" w:ascii="Times New Roman" w:hAnsi="Times New Roman" w:eastAsia="方正仿宋_GBK" w:cs="Times New Roman"/>
          <w:color w:val="000000"/>
          <w:sz w:val="32"/>
          <w:szCs w:val="32"/>
          <w:highlight w:val="none"/>
          <w:lang w:val="en-US" w:eastAsia="zh-CN"/>
        </w:rPr>
        <w:t>名客户使用线上支用功能，涉及金额</w:t>
      </w:r>
      <w:r>
        <w:rPr>
          <w:rFonts w:hint="eastAsia" w:ascii="Times New Roman" w:hAnsi="Times New Roman" w:eastAsia="方正仿宋_GBK" w:cs="Times New Roman"/>
          <w:color w:val="000000"/>
          <w:sz w:val="32"/>
          <w:szCs w:val="32"/>
          <w:highlight w:val="none"/>
          <w:lang w:val="en-US" w:eastAsia="zh-CN"/>
        </w:rPr>
        <w:t>5321</w:t>
      </w:r>
      <w:r>
        <w:rPr>
          <w:rFonts w:hint="default" w:ascii="Times New Roman" w:hAnsi="Times New Roman" w:eastAsia="方正仿宋_GBK" w:cs="Times New Roman"/>
          <w:color w:val="000000"/>
          <w:sz w:val="32"/>
          <w:szCs w:val="32"/>
          <w:highlight w:val="none"/>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b/>
          <w:bCs/>
          <w:color w:val="000000"/>
          <w:sz w:val="32"/>
          <w:szCs w:val="32"/>
          <w:highlight w:val="none"/>
          <w:lang w:val="en-US" w:eastAsia="zh-CN"/>
        </w:rPr>
        <w:t>3.小微企业融资环境变化情况。</w:t>
      </w:r>
      <w:r>
        <w:rPr>
          <w:rFonts w:hint="default" w:ascii="Times New Roman" w:hAnsi="Times New Roman" w:eastAsia="方正仿宋_GBK" w:cs="Times New Roman"/>
          <w:color w:val="000000"/>
          <w:sz w:val="32"/>
          <w:szCs w:val="32"/>
          <w:highlight w:val="none"/>
          <w:lang w:val="en-US" w:eastAsia="zh-CN"/>
        </w:rPr>
        <w:t>202</w:t>
      </w:r>
      <w:r>
        <w:rPr>
          <w:rFonts w:hint="eastAsia" w:ascii="Times New Roman" w:hAnsi="Times New Roman" w:eastAsia="方正仿宋_GBK" w:cs="Times New Roman"/>
          <w:color w:val="000000"/>
          <w:sz w:val="32"/>
          <w:szCs w:val="32"/>
          <w:highlight w:val="none"/>
          <w:lang w:val="en-US" w:eastAsia="zh-CN"/>
        </w:rPr>
        <w:t>2</w:t>
      </w:r>
      <w:r>
        <w:rPr>
          <w:rFonts w:hint="default" w:ascii="Times New Roman" w:hAnsi="Times New Roman" w:eastAsia="方正仿宋_GBK" w:cs="Times New Roman"/>
          <w:color w:val="000000"/>
          <w:sz w:val="32"/>
          <w:szCs w:val="32"/>
          <w:highlight w:val="none"/>
          <w:lang w:val="en-US" w:eastAsia="zh-CN"/>
        </w:rPr>
        <w:t>年受疫情影响小微企业融资环境变得宽松，我行小微企业融资利率呈下降0.5个百分点。</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黑体_GBK" w:cs="Times New Roman"/>
          <w:bCs/>
          <w:color w:val="auto"/>
          <w:kern w:val="0"/>
          <w:sz w:val="32"/>
          <w:szCs w:val="32"/>
          <w:highlight w:val="none"/>
        </w:rPr>
      </w:pPr>
      <w:r>
        <w:rPr>
          <w:rFonts w:hint="default" w:ascii="Times New Roman" w:hAnsi="Times New Roman" w:eastAsia="方正黑体_GBK" w:cs="Times New Roman"/>
          <w:bCs/>
          <w:color w:val="auto"/>
          <w:kern w:val="0"/>
          <w:sz w:val="32"/>
          <w:szCs w:val="32"/>
          <w:highlight w:val="none"/>
        </w:rPr>
        <w:t>三、报告期末贷款“五级”分类情况</w:t>
      </w:r>
    </w:p>
    <w:p>
      <w:pPr>
        <w:keepNext w:val="0"/>
        <w:keepLines w:val="0"/>
        <w:pageBreakBefore w:val="0"/>
        <w:widowControl/>
        <w:kinsoku/>
        <w:wordWrap/>
        <w:overflowPunct/>
        <w:topLinePunct w:val="0"/>
        <w:autoSpaceDE/>
        <w:autoSpaceDN/>
        <w:bidi w:val="0"/>
        <w:spacing w:line="580" w:lineRule="exact"/>
        <w:jc w:val="righ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单位：人民币、万元、%</w:t>
      </w:r>
    </w:p>
    <w:tbl>
      <w:tblPr>
        <w:tblStyle w:val="9"/>
        <w:tblW w:w="8560"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649"/>
        <w:gridCol w:w="2807"/>
        <w:gridCol w:w="31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63"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贷款五级分类</w:t>
            </w:r>
          </w:p>
        </w:tc>
        <w:tc>
          <w:tcPr>
            <w:tcW w:w="280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贷款余额</w:t>
            </w:r>
          </w:p>
        </w:tc>
        <w:tc>
          <w:tcPr>
            <w:tcW w:w="310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ascii="Times New Roman" w:hAnsi="Times New Roman" w:eastAsia="方正仿宋_GBK" w:cs="Times New Roman"/>
                <w:b/>
                <w:kern w:val="0"/>
                <w:sz w:val="24"/>
              </w:rPr>
            </w:pPr>
            <w:r>
              <w:rPr>
                <w:rFonts w:ascii="Times New Roman" w:hAnsi="Times New Roman" w:eastAsia="方正仿宋_GBK" w:cs="Times New Roman"/>
                <w:b/>
                <w:kern w:val="0"/>
                <w:sz w:val="24"/>
              </w:rPr>
              <w:t>占贷款总额比例%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07"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正常类</w:t>
            </w:r>
          </w:p>
        </w:tc>
        <w:tc>
          <w:tcPr>
            <w:tcW w:w="280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ascii="Times New Roman" w:hAnsi="Times New Roman" w:eastAsia="方正仿宋_GBK" w:cs="Times New Roman"/>
                <w:kern w:val="0"/>
                <w:sz w:val="24"/>
                <w:lang w:bidi="ar"/>
              </w:rPr>
            </w:pPr>
            <w:r>
              <w:rPr>
                <w:rFonts w:ascii="Times New Roman" w:hAnsi="Times New Roman" w:eastAsia="方正仿宋_GBK" w:cs="Times New Roman"/>
                <w:kern w:val="0"/>
                <w:sz w:val="24"/>
                <w:lang w:bidi="ar"/>
              </w:rPr>
              <w:t>31620.35</w:t>
            </w:r>
          </w:p>
        </w:tc>
        <w:tc>
          <w:tcPr>
            <w:tcW w:w="310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ascii="Times New Roman" w:hAnsi="Times New Roman" w:eastAsia="方正仿宋_GBK" w:cs="Times New Roman"/>
                <w:kern w:val="0"/>
                <w:sz w:val="24"/>
                <w:lang w:bidi="ar"/>
              </w:rPr>
            </w:pPr>
            <w:r>
              <w:rPr>
                <w:rFonts w:ascii="Times New Roman" w:hAnsi="Times New Roman" w:eastAsia="方正仿宋_GBK" w:cs="Times New Roman"/>
                <w:kern w:val="0"/>
                <w:sz w:val="24"/>
                <w:lang w:bidi="ar"/>
              </w:rPr>
              <w:t>99.62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07"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关注类</w:t>
            </w:r>
          </w:p>
        </w:tc>
        <w:tc>
          <w:tcPr>
            <w:tcW w:w="280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ascii="Times New Roman" w:hAnsi="Times New Roman" w:eastAsia="方正仿宋_GBK" w:cs="Times New Roman"/>
                <w:kern w:val="0"/>
                <w:sz w:val="24"/>
                <w:lang w:bidi="ar"/>
              </w:rPr>
            </w:pPr>
            <w:r>
              <w:rPr>
                <w:rFonts w:ascii="Times New Roman" w:hAnsi="Times New Roman" w:eastAsia="方正仿宋_GBK" w:cs="Times New Roman"/>
                <w:kern w:val="0"/>
                <w:sz w:val="24"/>
                <w:lang w:bidi="ar"/>
              </w:rPr>
              <w:t>0.25</w:t>
            </w:r>
          </w:p>
        </w:tc>
        <w:tc>
          <w:tcPr>
            <w:tcW w:w="310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ascii="Times New Roman" w:hAnsi="Times New Roman" w:eastAsia="方正仿宋_GBK" w:cs="Times New Roman"/>
                <w:kern w:val="0"/>
                <w:sz w:val="24"/>
                <w:lang w:bidi="ar"/>
              </w:rPr>
            </w:pPr>
            <w:r>
              <w:rPr>
                <w:rFonts w:ascii="Times New Roman" w:hAnsi="Times New Roman" w:eastAsia="方正仿宋_GBK" w:cs="Times New Roman"/>
                <w:kern w:val="0"/>
                <w:sz w:val="24"/>
                <w:lang w:bidi="ar"/>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07"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次级类</w:t>
            </w:r>
          </w:p>
        </w:tc>
        <w:tc>
          <w:tcPr>
            <w:tcW w:w="280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ascii="Times New Roman" w:hAnsi="Times New Roman" w:eastAsia="方正仿宋_GBK" w:cs="Times New Roman"/>
                <w:kern w:val="0"/>
                <w:sz w:val="24"/>
                <w:lang w:bidi="ar"/>
              </w:rPr>
            </w:pPr>
            <w:r>
              <w:rPr>
                <w:rFonts w:ascii="Times New Roman" w:hAnsi="Times New Roman" w:eastAsia="方正仿宋_GBK" w:cs="Times New Roman"/>
                <w:kern w:val="0"/>
                <w:sz w:val="24"/>
                <w:lang w:bidi="ar"/>
              </w:rPr>
              <w:t>72.16</w:t>
            </w:r>
          </w:p>
        </w:tc>
        <w:tc>
          <w:tcPr>
            <w:tcW w:w="310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ascii="Times New Roman" w:hAnsi="Times New Roman" w:eastAsia="方正仿宋_GBK" w:cs="Times New Roman"/>
                <w:kern w:val="0"/>
                <w:sz w:val="24"/>
                <w:lang w:bidi="ar"/>
              </w:rPr>
            </w:pPr>
            <w:r>
              <w:rPr>
                <w:rFonts w:ascii="Times New Roman" w:hAnsi="Times New Roman" w:eastAsia="方正仿宋_GBK" w:cs="Times New Roman"/>
                <w:kern w:val="0"/>
                <w:sz w:val="24"/>
                <w:lang w:bidi="ar"/>
              </w:rPr>
              <w:t>0.23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07"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可疑类</w:t>
            </w:r>
          </w:p>
        </w:tc>
        <w:tc>
          <w:tcPr>
            <w:tcW w:w="280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ascii="Times New Roman" w:hAnsi="Times New Roman" w:eastAsia="方正仿宋_GBK" w:cs="Times New Roman"/>
                <w:kern w:val="0"/>
                <w:sz w:val="24"/>
                <w:lang w:bidi="ar"/>
              </w:rPr>
            </w:pPr>
            <w:r>
              <w:rPr>
                <w:rFonts w:ascii="Times New Roman" w:hAnsi="Times New Roman" w:eastAsia="方正仿宋_GBK" w:cs="Times New Roman"/>
                <w:kern w:val="0"/>
                <w:sz w:val="24"/>
                <w:lang w:bidi="ar"/>
              </w:rPr>
              <w:t>41.81</w:t>
            </w:r>
          </w:p>
        </w:tc>
        <w:tc>
          <w:tcPr>
            <w:tcW w:w="310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ascii="Times New Roman" w:hAnsi="Times New Roman" w:eastAsia="方正仿宋_GBK" w:cs="Times New Roman"/>
                <w:kern w:val="0"/>
                <w:sz w:val="24"/>
                <w:lang w:bidi="ar"/>
              </w:rPr>
            </w:pPr>
            <w:r>
              <w:rPr>
                <w:rFonts w:ascii="Times New Roman" w:hAnsi="Times New Roman" w:eastAsia="方正仿宋_GBK" w:cs="Times New Roman"/>
                <w:kern w:val="0"/>
                <w:sz w:val="24"/>
                <w:lang w:bidi="ar"/>
              </w:rPr>
              <w:t>0.13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07"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损失类</w:t>
            </w:r>
          </w:p>
        </w:tc>
        <w:tc>
          <w:tcPr>
            <w:tcW w:w="280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ascii="Times New Roman" w:hAnsi="Times New Roman" w:eastAsia="方正仿宋_GBK" w:cs="Times New Roman"/>
                <w:kern w:val="0"/>
                <w:sz w:val="24"/>
                <w:lang w:bidi="ar"/>
              </w:rPr>
            </w:pPr>
            <w:r>
              <w:rPr>
                <w:rFonts w:ascii="Times New Roman" w:hAnsi="Times New Roman" w:eastAsia="方正仿宋_GBK" w:cs="Times New Roman"/>
                <w:kern w:val="0"/>
                <w:sz w:val="24"/>
                <w:lang w:bidi="ar"/>
              </w:rPr>
              <w:t>7.33</w:t>
            </w:r>
          </w:p>
        </w:tc>
        <w:tc>
          <w:tcPr>
            <w:tcW w:w="310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ascii="Times New Roman" w:hAnsi="Times New Roman" w:eastAsia="方正仿宋_GBK" w:cs="Times New Roman"/>
                <w:kern w:val="0"/>
                <w:sz w:val="24"/>
                <w:lang w:bidi="ar"/>
              </w:rPr>
            </w:pPr>
            <w:r>
              <w:rPr>
                <w:rFonts w:ascii="Times New Roman" w:hAnsi="Times New Roman" w:eastAsia="方正仿宋_GBK" w:cs="Times New Roman"/>
                <w:kern w:val="0"/>
                <w:sz w:val="24"/>
                <w:lang w:bidi="ar"/>
              </w:rPr>
              <w:t>0.02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21" w:hRule="atLeast"/>
          <w:jc w:val="center"/>
        </w:trPr>
        <w:tc>
          <w:tcPr>
            <w:tcW w:w="2649"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ascii="Times New Roman" w:hAnsi="Times New Roman" w:eastAsia="方正仿宋_GBK" w:cs="Times New Roman"/>
                <w:kern w:val="0"/>
                <w:sz w:val="24"/>
              </w:rPr>
            </w:pPr>
            <w:r>
              <w:rPr>
                <w:rFonts w:ascii="Times New Roman" w:hAnsi="Times New Roman" w:eastAsia="方正仿宋_GBK" w:cs="Times New Roman"/>
                <w:kern w:val="0"/>
                <w:sz w:val="24"/>
              </w:rPr>
              <w:t>合计</w:t>
            </w:r>
          </w:p>
        </w:tc>
        <w:tc>
          <w:tcPr>
            <w:tcW w:w="2807"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ascii="Times New Roman" w:hAnsi="Times New Roman" w:eastAsia="方正仿宋_GBK" w:cs="Times New Roman"/>
                <w:kern w:val="0"/>
                <w:sz w:val="24"/>
                <w:lang w:bidi="ar"/>
              </w:rPr>
            </w:pPr>
            <w:r>
              <w:rPr>
                <w:rFonts w:ascii="Times New Roman" w:hAnsi="Times New Roman" w:eastAsia="方正仿宋_GBK" w:cs="Times New Roman"/>
                <w:kern w:val="0"/>
                <w:sz w:val="24"/>
                <w:lang w:bidi="ar"/>
              </w:rPr>
              <w:t>31741.90</w:t>
            </w:r>
          </w:p>
        </w:tc>
        <w:tc>
          <w:tcPr>
            <w:tcW w:w="310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ascii="Times New Roman" w:hAnsi="Times New Roman" w:eastAsia="方正仿宋_GBK" w:cs="Times New Roman"/>
                <w:kern w:val="0"/>
                <w:sz w:val="24"/>
                <w:lang w:bidi="ar"/>
              </w:rPr>
            </w:pPr>
            <w:r>
              <w:rPr>
                <w:rFonts w:ascii="Times New Roman" w:hAnsi="Times New Roman" w:eastAsia="方正仿宋_GBK" w:cs="Times New Roman"/>
                <w:kern w:val="0"/>
                <w:sz w:val="24"/>
                <w:lang w:bidi="ar"/>
              </w:rPr>
              <w:t>100</w:t>
            </w:r>
          </w:p>
        </w:tc>
      </w:tr>
    </w:tbl>
    <w:p>
      <w:pPr>
        <w:keepNext w:val="0"/>
        <w:keepLines w:val="0"/>
        <w:pageBreakBefore w:val="0"/>
        <w:widowControl/>
        <w:kinsoku/>
        <w:wordWrap/>
        <w:overflowPunct/>
        <w:topLinePunct w:val="0"/>
        <w:autoSpaceDE/>
        <w:autoSpaceDN/>
        <w:bidi w:val="0"/>
        <w:spacing w:line="580" w:lineRule="exact"/>
        <w:jc w:val="right"/>
        <w:rPr>
          <w:rFonts w:hint="default" w:ascii="Times New Roman" w:hAnsi="Times New Roman" w:eastAsia="方正仿宋_GBK" w:cs="Times New Roman"/>
          <w:color w:val="auto"/>
          <w:kern w:val="0"/>
          <w:szCs w:val="21"/>
          <w:highlight w:val="none"/>
        </w:rPr>
      </w:pP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黑体_GBK" w:cs="Times New Roman"/>
          <w:b/>
          <w:bCs/>
          <w:color w:val="auto"/>
          <w:kern w:val="0"/>
          <w:sz w:val="32"/>
          <w:szCs w:val="32"/>
          <w:highlight w:val="none"/>
        </w:rPr>
      </w:pPr>
      <w:r>
        <w:rPr>
          <w:rFonts w:hint="default" w:ascii="Times New Roman" w:hAnsi="Times New Roman" w:eastAsia="方正黑体_GBK" w:cs="Times New Roman"/>
          <w:bCs/>
          <w:color w:val="auto"/>
          <w:kern w:val="0"/>
          <w:sz w:val="32"/>
          <w:szCs w:val="32"/>
          <w:highlight w:val="none"/>
        </w:rPr>
        <w:t>四、贷款损失准备计提情况</w:t>
      </w:r>
    </w:p>
    <w:p>
      <w:pPr>
        <w:keepNext w:val="0"/>
        <w:keepLines w:val="0"/>
        <w:pageBreakBefore w:val="0"/>
        <w:widowControl/>
        <w:kinsoku/>
        <w:wordWrap/>
        <w:overflowPunct/>
        <w:topLinePunct w:val="0"/>
        <w:autoSpaceDE/>
        <w:autoSpaceDN/>
        <w:bidi w:val="0"/>
        <w:spacing w:line="580" w:lineRule="exact"/>
        <w:ind w:firstLine="640" w:firstLineChars="200"/>
        <w:jc w:val="left"/>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报告期末，提取贷款损失准备余额共计866.87万元，贷款拨备率2.73%，拨备覆盖率714.63%，优于监管要求。</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黑体_GBK" w:cs="Times New Roman"/>
          <w:bCs/>
          <w:color w:val="auto"/>
          <w:kern w:val="0"/>
          <w:sz w:val="32"/>
          <w:szCs w:val="32"/>
          <w:highlight w:val="none"/>
        </w:rPr>
      </w:pPr>
      <w:r>
        <w:rPr>
          <w:rFonts w:hint="default" w:ascii="Times New Roman" w:hAnsi="Times New Roman" w:eastAsia="方正黑体_GBK" w:cs="Times New Roman"/>
          <w:bCs/>
          <w:color w:val="auto"/>
          <w:kern w:val="0"/>
          <w:sz w:val="32"/>
          <w:szCs w:val="32"/>
          <w:highlight w:val="none"/>
        </w:rPr>
        <w:t>五、报告期末，本公司重组贷款情况</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黑体_GBK" w:cs="Times New Roman"/>
          <w:bCs/>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截止报告期末，我行无重组贷款。</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黑体_GBK" w:cs="Times New Roman"/>
          <w:bCs/>
          <w:color w:val="auto"/>
          <w:kern w:val="0"/>
          <w:sz w:val="32"/>
          <w:szCs w:val="32"/>
          <w:highlight w:val="none"/>
        </w:rPr>
      </w:pPr>
      <w:r>
        <w:rPr>
          <w:rFonts w:hint="default" w:ascii="Times New Roman" w:hAnsi="Times New Roman" w:eastAsia="方正黑体_GBK" w:cs="Times New Roman"/>
          <w:bCs/>
          <w:color w:val="auto"/>
          <w:kern w:val="0"/>
          <w:sz w:val="32"/>
          <w:szCs w:val="32"/>
          <w:highlight w:val="none"/>
        </w:rPr>
        <w:t>六、主要存款类别、日均余额</w:t>
      </w:r>
    </w:p>
    <w:p>
      <w:pPr>
        <w:keepNext w:val="0"/>
        <w:keepLines w:val="0"/>
        <w:pageBreakBefore w:val="0"/>
        <w:widowControl/>
        <w:kinsoku/>
        <w:wordWrap/>
        <w:overflowPunct/>
        <w:topLinePunct w:val="0"/>
        <w:autoSpaceDE/>
        <w:autoSpaceDN/>
        <w:bidi w:val="0"/>
        <w:spacing w:line="580" w:lineRule="exact"/>
        <w:jc w:val="righ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单位：人民币、万元</w:t>
      </w:r>
    </w:p>
    <w:tbl>
      <w:tblPr>
        <w:tblStyle w:val="9"/>
        <w:tblW w:w="8380"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295"/>
        <w:gridCol w:w="3352"/>
        <w:gridCol w:w="273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25" w:hRule="atLeast"/>
        </w:trPr>
        <w:tc>
          <w:tcPr>
            <w:tcW w:w="22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类别</w:t>
            </w:r>
          </w:p>
        </w:tc>
        <w:tc>
          <w:tcPr>
            <w:tcW w:w="335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报告期末余额</w:t>
            </w:r>
          </w:p>
        </w:tc>
        <w:tc>
          <w:tcPr>
            <w:tcW w:w="273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
                <w:bCs/>
                <w:color w:val="auto"/>
                <w:kern w:val="0"/>
                <w:sz w:val="24"/>
                <w:szCs w:val="24"/>
                <w:highlight w:val="none"/>
              </w:rPr>
            </w:pPr>
            <w:r>
              <w:rPr>
                <w:rFonts w:hint="default" w:ascii="Times New Roman" w:hAnsi="Times New Roman" w:eastAsia="方正仿宋_GBK" w:cs="Times New Roman"/>
                <w:b/>
                <w:bCs/>
                <w:color w:val="auto"/>
                <w:kern w:val="0"/>
                <w:sz w:val="24"/>
                <w:szCs w:val="24"/>
                <w:highlight w:val="none"/>
              </w:rPr>
              <w:t>日均余额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25" w:hRule="atLeast"/>
        </w:trPr>
        <w:tc>
          <w:tcPr>
            <w:tcW w:w="22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对公存款</w:t>
            </w:r>
          </w:p>
        </w:tc>
        <w:tc>
          <w:tcPr>
            <w:tcW w:w="335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4"/>
                <w:szCs w:val="24"/>
                <w:highlight w:val="none"/>
                <w:lang w:val="en-US"/>
              </w:rPr>
            </w:pPr>
            <w:r>
              <w:rPr>
                <w:rFonts w:hint="eastAsia" w:ascii="Times New Roman" w:hAnsi="Times New Roman" w:eastAsia="方正仿宋_GBK" w:cs="Times New Roman"/>
                <w:bCs/>
                <w:color w:val="auto"/>
                <w:sz w:val="24"/>
                <w:szCs w:val="24"/>
                <w:highlight w:val="none"/>
                <w:lang w:val="en-US" w:eastAsia="zh-CN"/>
              </w:rPr>
              <w:t>2575.55</w:t>
            </w:r>
          </w:p>
        </w:tc>
        <w:tc>
          <w:tcPr>
            <w:tcW w:w="273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4"/>
                <w:szCs w:val="24"/>
                <w:highlight w:val="none"/>
                <w:lang w:val="en-US" w:eastAsia="zh-CN"/>
              </w:rPr>
            </w:pPr>
            <w:r>
              <w:rPr>
                <w:rFonts w:hint="eastAsia" w:ascii="Times New Roman" w:hAnsi="Times New Roman" w:eastAsia="方正仿宋_GBK" w:cs="Times New Roman"/>
                <w:color w:val="auto"/>
                <w:kern w:val="0"/>
                <w:sz w:val="24"/>
                <w:szCs w:val="24"/>
                <w:highlight w:val="none"/>
                <w:lang w:val="en-US" w:eastAsia="zh-CN"/>
              </w:rPr>
              <w:t>2600.74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39" w:hRule="atLeast"/>
        </w:trPr>
        <w:tc>
          <w:tcPr>
            <w:tcW w:w="229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color w:val="auto"/>
                <w:kern w:val="0"/>
                <w:sz w:val="24"/>
                <w:szCs w:val="24"/>
                <w:highlight w:val="none"/>
              </w:rPr>
            </w:pPr>
            <w:r>
              <w:rPr>
                <w:rFonts w:hint="default" w:ascii="Times New Roman" w:hAnsi="Times New Roman" w:eastAsia="方正仿宋_GBK" w:cs="Times New Roman"/>
                <w:color w:val="auto"/>
                <w:kern w:val="0"/>
                <w:sz w:val="24"/>
                <w:szCs w:val="24"/>
                <w:highlight w:val="none"/>
              </w:rPr>
              <w:t>个人存款</w:t>
            </w:r>
          </w:p>
        </w:tc>
        <w:tc>
          <w:tcPr>
            <w:tcW w:w="335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Cs/>
                <w:color w:val="auto"/>
                <w:kern w:val="2"/>
                <w:sz w:val="24"/>
                <w:szCs w:val="24"/>
                <w:highlight w:val="none"/>
                <w:lang w:val="en-US" w:eastAsia="zh-CN"/>
              </w:rPr>
            </w:pPr>
            <w:r>
              <w:rPr>
                <w:rFonts w:hint="eastAsia" w:ascii="Times New Roman" w:hAnsi="Times New Roman" w:eastAsia="方正仿宋_GBK" w:cs="Times New Roman"/>
                <w:bCs/>
                <w:color w:val="auto"/>
                <w:sz w:val="24"/>
                <w:szCs w:val="24"/>
                <w:highlight w:val="none"/>
                <w:lang w:val="en-US" w:eastAsia="zh-CN"/>
              </w:rPr>
              <w:t>5997.80</w:t>
            </w:r>
          </w:p>
        </w:tc>
        <w:tc>
          <w:tcPr>
            <w:tcW w:w="2733"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仿宋_GBK" w:cs="Times New Roman"/>
                <w:bCs/>
                <w:color w:val="auto"/>
                <w:kern w:val="2"/>
                <w:sz w:val="24"/>
                <w:szCs w:val="24"/>
                <w:highlight w:val="none"/>
                <w:lang w:val="en-US"/>
              </w:rPr>
            </w:pPr>
            <w:r>
              <w:rPr>
                <w:rFonts w:hint="eastAsia" w:ascii="Times New Roman" w:hAnsi="Times New Roman" w:eastAsia="方正仿宋_GBK" w:cs="Times New Roman"/>
                <w:bCs/>
                <w:color w:val="auto"/>
                <w:sz w:val="24"/>
                <w:szCs w:val="24"/>
                <w:highlight w:val="none"/>
                <w:lang w:val="en-US" w:eastAsia="zh-CN"/>
              </w:rPr>
              <w:t>5608.84</w:t>
            </w:r>
          </w:p>
        </w:tc>
      </w:tr>
    </w:tbl>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黑体_GBK" w:cs="Times New Roman"/>
          <w:bCs/>
          <w:color w:val="auto"/>
          <w:kern w:val="0"/>
          <w:sz w:val="32"/>
          <w:szCs w:val="32"/>
          <w:highlight w:val="none"/>
        </w:rPr>
      </w:pPr>
      <w:r>
        <w:rPr>
          <w:rFonts w:hint="default" w:ascii="Times New Roman" w:hAnsi="Times New Roman" w:eastAsia="方正黑体_GBK" w:cs="Times New Roman"/>
          <w:bCs/>
          <w:color w:val="auto"/>
          <w:kern w:val="0"/>
          <w:sz w:val="32"/>
          <w:szCs w:val="32"/>
          <w:highlight w:val="none"/>
        </w:rPr>
        <w:t>七、主要贷款类别、日均余额及年均贷款利率</w:t>
      </w:r>
    </w:p>
    <w:p>
      <w:pPr>
        <w:keepNext w:val="0"/>
        <w:keepLines w:val="0"/>
        <w:pageBreakBefore w:val="0"/>
        <w:widowControl/>
        <w:kinsoku/>
        <w:wordWrap/>
        <w:overflowPunct/>
        <w:topLinePunct w:val="0"/>
        <w:autoSpaceDE/>
        <w:autoSpaceDN/>
        <w:bidi w:val="0"/>
        <w:spacing w:line="580" w:lineRule="exact"/>
        <w:jc w:val="right"/>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单位：人民币、万元</w:t>
      </w:r>
    </w:p>
    <w:tbl>
      <w:tblPr>
        <w:tblStyle w:val="9"/>
        <w:tblW w:w="8648" w:type="dxa"/>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728"/>
        <w:gridCol w:w="2464"/>
        <w:gridCol w:w="2028"/>
        <w:gridCol w:w="242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72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类别</w:t>
            </w:r>
          </w:p>
        </w:tc>
        <w:tc>
          <w:tcPr>
            <w:tcW w:w="246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报告期末余额</w:t>
            </w:r>
          </w:p>
        </w:tc>
        <w:tc>
          <w:tcPr>
            <w:tcW w:w="202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月平均余额</w:t>
            </w:r>
          </w:p>
        </w:tc>
        <w:tc>
          <w:tcPr>
            <w:tcW w:w="242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ascii="Times New Roman" w:hAnsi="Times New Roman" w:eastAsia="方正仿宋_GBK" w:cs="Times New Roman"/>
                <w:b/>
                <w:bCs/>
                <w:kern w:val="0"/>
                <w:sz w:val="24"/>
                <w:szCs w:val="24"/>
              </w:rPr>
            </w:pPr>
            <w:r>
              <w:rPr>
                <w:rFonts w:ascii="Times New Roman" w:hAnsi="Times New Roman" w:eastAsia="方正仿宋_GBK" w:cs="Times New Roman"/>
                <w:b/>
                <w:bCs/>
                <w:kern w:val="0"/>
                <w:sz w:val="24"/>
                <w:szCs w:val="24"/>
              </w:rPr>
              <w:t>平均贷款利率%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72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企业贷款</w:t>
            </w:r>
          </w:p>
        </w:tc>
        <w:tc>
          <w:tcPr>
            <w:tcW w:w="246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0</w:t>
            </w:r>
          </w:p>
        </w:tc>
        <w:tc>
          <w:tcPr>
            <w:tcW w:w="202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0</w:t>
            </w:r>
          </w:p>
        </w:tc>
        <w:tc>
          <w:tcPr>
            <w:tcW w:w="242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c>
          <w:tcPr>
            <w:tcW w:w="172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个人贷款</w:t>
            </w:r>
          </w:p>
        </w:tc>
        <w:tc>
          <w:tcPr>
            <w:tcW w:w="2464"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31741.9</w:t>
            </w:r>
          </w:p>
        </w:tc>
        <w:tc>
          <w:tcPr>
            <w:tcW w:w="202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29917.96</w:t>
            </w:r>
          </w:p>
        </w:tc>
        <w:tc>
          <w:tcPr>
            <w:tcW w:w="2428"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autoSpaceDE/>
              <w:autoSpaceDN/>
              <w:bidi w:val="0"/>
              <w:spacing w:line="580" w:lineRule="exact"/>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4.76</w:t>
            </w:r>
          </w:p>
        </w:tc>
      </w:tr>
    </w:tbl>
    <w:p>
      <w:pPr>
        <w:keepNext w:val="0"/>
        <w:keepLines w:val="0"/>
        <w:pageBreakBefore w:val="0"/>
        <w:widowControl/>
        <w:kinsoku/>
        <w:wordWrap/>
        <w:overflowPunct/>
        <w:topLinePunct w:val="0"/>
        <w:autoSpaceDE/>
        <w:autoSpaceDN/>
        <w:bidi w:val="0"/>
        <w:spacing w:line="580" w:lineRule="exact"/>
        <w:jc w:val="right"/>
        <w:rPr>
          <w:rFonts w:hint="default" w:ascii="Times New Roman" w:hAnsi="Times New Roman" w:eastAsia="方正仿宋_GBK" w:cs="Times New Roman"/>
          <w:color w:val="auto"/>
          <w:kern w:val="0"/>
          <w:szCs w:val="21"/>
          <w:highlight w:val="none"/>
        </w:rPr>
      </w:pP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八、报告期末无逾期未偿付债务情况</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黑体_GBK" w:cs="Times New Roman"/>
          <w:bCs/>
          <w:color w:val="auto"/>
          <w:kern w:val="0"/>
          <w:sz w:val="32"/>
          <w:szCs w:val="32"/>
        </w:rPr>
      </w:pPr>
      <w:r>
        <w:rPr>
          <w:rFonts w:hint="default" w:ascii="Times New Roman" w:hAnsi="Times New Roman" w:eastAsia="方正黑体_GBK" w:cs="Times New Roman"/>
          <w:bCs/>
          <w:color w:val="auto"/>
          <w:kern w:val="0"/>
          <w:sz w:val="32"/>
          <w:szCs w:val="32"/>
        </w:rPr>
        <w:t>九、关联交易情况</w:t>
      </w:r>
    </w:p>
    <w:p>
      <w:pPr>
        <w:keepNext w:val="0"/>
        <w:keepLines w:val="0"/>
        <w:pageBreakBefore w:val="0"/>
        <w:widowControl/>
        <w:kinsoku/>
        <w:wordWrap/>
        <w:overflowPunct/>
        <w:topLinePunct w:val="0"/>
        <w:autoSpaceDE/>
        <w:autoSpaceDN/>
        <w:bidi w:val="0"/>
        <w:spacing w:line="580" w:lineRule="exact"/>
        <w:ind w:firstLine="643" w:firstLineChars="200"/>
        <w:rPr>
          <w:rFonts w:hint="default" w:ascii="Times New Roman" w:hAnsi="Times New Roman" w:eastAsia="方正楷体_GBK" w:cs="Times New Roman"/>
          <w:b/>
          <w:bCs/>
          <w:color w:val="auto"/>
          <w:kern w:val="0"/>
          <w:sz w:val="32"/>
          <w:szCs w:val="32"/>
        </w:rPr>
      </w:pPr>
      <w:r>
        <w:rPr>
          <w:rFonts w:hint="default" w:ascii="Times New Roman" w:hAnsi="Times New Roman" w:eastAsia="方正楷体_GBK" w:cs="Times New Roman"/>
          <w:b/>
          <w:bCs/>
          <w:color w:val="auto"/>
          <w:kern w:val="0"/>
          <w:sz w:val="32"/>
          <w:szCs w:val="32"/>
        </w:rPr>
        <w:t>（一）关联方关系。</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截至20</w:t>
      </w:r>
      <w:r>
        <w:rPr>
          <w:rFonts w:hint="default" w:ascii="Times New Roman" w:hAnsi="Times New Roman" w:eastAsia="方正仿宋_GBK" w:cs="Times New Roman"/>
          <w:color w:val="auto"/>
          <w:kern w:val="0"/>
          <w:sz w:val="32"/>
          <w:szCs w:val="32"/>
          <w:highlight w:val="none"/>
          <w:lang w:val="en-US" w:eastAsia="zh-CN"/>
        </w:rPr>
        <w:t>2</w:t>
      </w:r>
      <w:r>
        <w:rPr>
          <w:rFonts w:hint="eastAsia" w:ascii="Times New Roman" w:hAnsi="Times New Roman" w:eastAsia="方正仿宋_GBK" w:cs="Times New Roman"/>
          <w:color w:val="auto"/>
          <w:kern w:val="0"/>
          <w:sz w:val="32"/>
          <w:szCs w:val="32"/>
          <w:highlight w:val="none"/>
          <w:lang w:val="en-US" w:eastAsia="zh-CN"/>
        </w:rPr>
        <w:t>2</w:t>
      </w:r>
      <w:r>
        <w:rPr>
          <w:rFonts w:hint="default" w:ascii="Times New Roman" w:hAnsi="Times New Roman" w:eastAsia="方正仿宋_GBK" w:cs="Times New Roman"/>
          <w:color w:val="auto"/>
          <w:kern w:val="0"/>
          <w:sz w:val="32"/>
          <w:szCs w:val="32"/>
          <w:highlight w:val="none"/>
        </w:rPr>
        <w:t>年12月31日，本行与主发起行重庆农村商业银行存在关联交易。</w:t>
      </w:r>
    </w:p>
    <w:p>
      <w:pPr>
        <w:keepNext w:val="0"/>
        <w:keepLines w:val="0"/>
        <w:pageBreakBefore w:val="0"/>
        <w:widowControl/>
        <w:kinsoku/>
        <w:wordWrap/>
        <w:overflowPunct/>
        <w:topLinePunct w:val="0"/>
        <w:autoSpaceDE/>
        <w:autoSpaceDN/>
        <w:bidi w:val="0"/>
        <w:spacing w:line="580" w:lineRule="exact"/>
        <w:ind w:firstLine="643" w:firstLineChars="200"/>
        <w:rPr>
          <w:rFonts w:hint="default" w:ascii="Times New Roman" w:hAnsi="Times New Roman" w:eastAsia="方正楷体_GBK" w:cs="Times New Roman"/>
          <w:b/>
          <w:bCs/>
          <w:color w:val="auto"/>
          <w:kern w:val="0"/>
          <w:sz w:val="32"/>
          <w:szCs w:val="32"/>
          <w:highlight w:val="none"/>
        </w:rPr>
      </w:pPr>
      <w:r>
        <w:rPr>
          <w:rFonts w:hint="default" w:ascii="Times New Roman" w:hAnsi="Times New Roman" w:eastAsia="方正楷体_GBK" w:cs="Times New Roman"/>
          <w:b/>
          <w:bCs/>
          <w:color w:val="auto"/>
          <w:kern w:val="0"/>
          <w:sz w:val="32"/>
          <w:szCs w:val="32"/>
          <w:highlight w:val="none"/>
        </w:rPr>
        <w:t>（二）关联交易。</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color w:val="auto"/>
          <w:kern w:val="0"/>
          <w:sz w:val="32"/>
          <w:szCs w:val="32"/>
          <w:highlight w:val="none"/>
          <w:lang w:val="en-US" w:eastAsia="zh-CN"/>
        </w:rPr>
        <w:t>主发起行同业存放资金：主发起行重庆农村商业银行为本行同业授信额度为1亿元。截至202</w:t>
      </w:r>
      <w:r>
        <w:rPr>
          <w:rFonts w:hint="eastAsia" w:ascii="Times New Roman" w:hAnsi="Times New Roman" w:eastAsia="方正仿宋_GBK" w:cs="Times New Roman"/>
          <w:color w:val="auto"/>
          <w:kern w:val="0"/>
          <w:sz w:val="32"/>
          <w:szCs w:val="32"/>
          <w:highlight w:val="none"/>
          <w:lang w:val="en-US" w:eastAsia="zh-CN"/>
        </w:rPr>
        <w:t>2</w:t>
      </w:r>
      <w:r>
        <w:rPr>
          <w:rFonts w:hint="default" w:ascii="Times New Roman" w:hAnsi="Times New Roman" w:eastAsia="方正仿宋_GBK" w:cs="Times New Roman"/>
          <w:color w:val="auto"/>
          <w:kern w:val="0"/>
          <w:sz w:val="32"/>
          <w:szCs w:val="32"/>
          <w:highlight w:val="none"/>
          <w:lang w:val="en-US" w:eastAsia="zh-CN"/>
        </w:rPr>
        <w:t>年12月31日止重庆农村商业银行存放本行存款余额为</w:t>
      </w:r>
      <w:r>
        <w:rPr>
          <w:rFonts w:hint="eastAsia" w:ascii="Times New Roman" w:hAnsi="Times New Roman" w:eastAsia="方正仿宋_GBK" w:cs="Times New Roman"/>
          <w:color w:val="auto"/>
          <w:kern w:val="0"/>
          <w:sz w:val="32"/>
          <w:szCs w:val="32"/>
          <w:highlight w:val="none"/>
          <w:lang w:val="en-US" w:eastAsia="zh-CN"/>
        </w:rPr>
        <w:t>5</w:t>
      </w:r>
      <w:r>
        <w:rPr>
          <w:rFonts w:hint="default" w:ascii="Times New Roman" w:hAnsi="Times New Roman" w:eastAsia="方正仿宋_GBK" w:cs="Times New Roman"/>
          <w:color w:val="auto"/>
          <w:kern w:val="0"/>
          <w:sz w:val="32"/>
          <w:szCs w:val="32"/>
          <w:highlight w:val="none"/>
          <w:lang w:val="en-US" w:eastAsia="zh-CN"/>
        </w:rPr>
        <w:t>00</w:t>
      </w:r>
      <w:r>
        <w:rPr>
          <w:rFonts w:hint="eastAsia" w:ascii="Times New Roman" w:hAnsi="Times New Roman" w:eastAsia="方正仿宋_GBK" w:cs="Times New Roman"/>
          <w:color w:val="auto"/>
          <w:kern w:val="0"/>
          <w:sz w:val="32"/>
          <w:szCs w:val="32"/>
          <w:highlight w:val="none"/>
          <w:lang w:val="en-US" w:eastAsia="zh-CN"/>
        </w:rPr>
        <w:t>0</w:t>
      </w:r>
      <w:r>
        <w:rPr>
          <w:rFonts w:hint="default" w:ascii="Times New Roman" w:hAnsi="Times New Roman" w:eastAsia="方正仿宋_GBK" w:cs="Times New Roman"/>
          <w:color w:val="auto"/>
          <w:kern w:val="0"/>
          <w:sz w:val="32"/>
          <w:szCs w:val="32"/>
          <w:highlight w:val="none"/>
          <w:lang w:val="en-US" w:eastAsia="zh-CN"/>
        </w:rPr>
        <w:t>万元。</w:t>
      </w:r>
    </w:p>
    <w:p>
      <w:pPr>
        <w:keepNext w:val="0"/>
        <w:keepLines w:val="0"/>
        <w:pageBreakBefore w:val="0"/>
        <w:widowControl/>
        <w:numPr>
          <w:ilvl w:val="0"/>
          <w:numId w:val="4"/>
        </w:numPr>
        <w:kinsoku/>
        <w:wordWrap/>
        <w:overflowPunct/>
        <w:topLinePunct w:val="0"/>
        <w:autoSpaceDE/>
        <w:autoSpaceDN/>
        <w:bidi w:val="0"/>
        <w:spacing w:line="580" w:lineRule="exact"/>
        <w:jc w:val="center"/>
        <w:rPr>
          <w:rFonts w:hint="default" w:ascii="Times New Roman" w:hAnsi="Times New Roman" w:eastAsia="方正黑体_GBK" w:cs="Times New Roman"/>
          <w:bCs/>
          <w:color w:val="auto"/>
          <w:sz w:val="32"/>
          <w:szCs w:val="32"/>
        </w:rPr>
      </w:pPr>
      <w:r>
        <w:rPr>
          <w:rFonts w:hint="default" w:ascii="Times New Roman" w:hAnsi="Times New Roman" w:eastAsia="方正小标宋_GBK" w:cs="Times New Roman"/>
          <w:bCs/>
          <w:color w:val="auto"/>
          <w:kern w:val="0"/>
          <w:sz w:val="32"/>
          <w:szCs w:val="32"/>
        </w:rPr>
        <w:t>全面风险管理情况</w:t>
      </w:r>
    </w:p>
    <w:p>
      <w:pPr>
        <w:keepNext w:val="0"/>
        <w:keepLines w:val="0"/>
        <w:pageBreakBefore w:val="0"/>
        <w:tabs>
          <w:tab w:val="left" w:pos="0"/>
        </w:tabs>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一、高级管理层对风险的监控能力</w:t>
      </w:r>
    </w:p>
    <w:p>
      <w:pPr>
        <w:keepNext w:val="0"/>
        <w:keepLines w:val="0"/>
        <w:pageBreakBefore w:val="0"/>
        <w:tabs>
          <w:tab w:val="left" w:pos="0"/>
        </w:tabs>
        <w:kinsoku/>
        <w:wordWrap/>
        <w:overflowPunct/>
        <w:topLinePunct w:val="0"/>
        <w:autoSpaceDE/>
        <w:autoSpaceDN/>
        <w:bidi w:val="0"/>
        <w:adjustRightInd w:val="0"/>
        <w:snapToGrid w:val="0"/>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高级管理层通过按季召开风险分析会议，全面分析我行信用风险、操作风险、流动性风险、声誉风险方面取得的成绩及存在的问题，并提出解决方案。按季开展信用风险、市场风险、流动性风险压力测试，扎实运用好全面风险管理技术。全年，我行未发生流动性风险、操作风险、声誉风险导致的不良影响及损失事件。</w:t>
      </w:r>
    </w:p>
    <w:p>
      <w:pPr>
        <w:keepNext w:val="0"/>
        <w:keepLines w:val="0"/>
        <w:pageBreakBefore w:val="0"/>
        <w:tabs>
          <w:tab w:val="left" w:pos="0"/>
        </w:tabs>
        <w:kinsoku/>
        <w:wordWrap/>
        <w:overflowPunct/>
        <w:topLinePunct w:val="0"/>
        <w:autoSpaceDE/>
        <w:autoSpaceDN/>
        <w:bidi w:val="0"/>
        <w:adjustRightInd w:val="0"/>
        <w:snapToGrid w:val="0"/>
        <w:spacing w:line="580" w:lineRule="exact"/>
        <w:ind w:firstLine="640" w:firstLineChars="200"/>
        <w:rPr>
          <w:rFonts w:hint="default" w:ascii="Times New Roman" w:hAnsi="Times New Roman" w:eastAsia="方正黑体_GBK" w:cs="Times New Roman"/>
          <w:bCs/>
          <w:color w:val="auto"/>
          <w:sz w:val="32"/>
          <w:szCs w:val="32"/>
        </w:rPr>
      </w:pPr>
      <w:r>
        <w:rPr>
          <w:rFonts w:hint="default" w:ascii="Times New Roman" w:hAnsi="Times New Roman" w:eastAsia="方正黑体_GBK" w:cs="Times New Roman"/>
          <w:bCs/>
          <w:color w:val="auto"/>
          <w:sz w:val="32"/>
          <w:szCs w:val="32"/>
        </w:rPr>
        <w:t>二、风险管理政策和程序</w:t>
      </w:r>
    </w:p>
    <w:p>
      <w:pPr>
        <w:keepNext w:val="0"/>
        <w:keepLines w:val="0"/>
        <w:pageBreakBefore w:val="0"/>
        <w:kinsoku/>
        <w:wordWrap/>
        <w:overflowPunct/>
        <w:topLinePunct w:val="0"/>
        <w:autoSpaceDE/>
        <w:autoSpaceDN/>
        <w:bidi w:val="0"/>
        <w:spacing w:line="58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rPr>
        <w:t>2022年，我行认真贯彻监管部门、发起行相关风险管理要求，严格落实各项风险管控措施，严防各类风险。一是在发起行的指导下及时修订并印发了《2022年度风险偏好陈述书》，设定风险偏好值进行动态监测。二是严格落实贷款“三查”制度，加强押品管理、授信管理、集中度管理，加大风险处置力度，严控信用风险。三是严格执行同业授信管理办法，加强流动性监测和头寸管理，切实防范流动性风险。四是开展各项风险排查、员工行为排查、强化责任追究和处理等方式防范操作风险。五是开展应急演练、强化员工培训、强化正面宣传及舆情监测等方式防范声誉风险。六</w:t>
      </w:r>
      <w:r>
        <w:rPr>
          <w:rFonts w:ascii="Times New Roman" w:hAnsi="Times New Roman" w:eastAsia="方正仿宋_GBK" w:cs="Times New Roman"/>
          <w:sz w:val="32"/>
          <w:szCs w:val="32"/>
          <w:highlight w:val="none"/>
        </w:rPr>
        <w:t>是开展市场风险压力测试，强化市场环境分析，防范市场风险。七是制定了《石狮渝农商银行计算机病毒防治实施细则》，通过定期开展防病毒、系统应急演练等方式防范科技信息风险。2022年，我行全面风险管理措施得当，效果较好，未发生严重的风险事件。</w:t>
      </w:r>
    </w:p>
    <w:p>
      <w:pPr>
        <w:keepNext w:val="0"/>
        <w:keepLines w:val="0"/>
        <w:pageBreakBefore w:val="0"/>
        <w:kinsoku/>
        <w:wordWrap/>
        <w:overflowPunct/>
        <w:topLinePunct w:val="0"/>
        <w:autoSpaceDE/>
        <w:autoSpaceDN/>
        <w:bidi w:val="0"/>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2022年的风险偏好指标结果如下：</w:t>
      </w:r>
    </w:p>
    <w:tbl>
      <w:tblPr>
        <w:tblStyle w:val="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6"/>
        <w:gridCol w:w="2208"/>
        <w:gridCol w:w="1855"/>
        <w:gridCol w:w="2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6" w:hRule="atLeast"/>
        </w:trPr>
        <w:tc>
          <w:tcPr>
            <w:tcW w:w="1486"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类型</w:t>
            </w:r>
          </w:p>
        </w:tc>
        <w:tc>
          <w:tcPr>
            <w:tcW w:w="2208"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指标名称</w:t>
            </w:r>
          </w:p>
        </w:tc>
        <w:tc>
          <w:tcPr>
            <w:tcW w:w="1855"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目标</w:t>
            </w:r>
          </w:p>
        </w:tc>
        <w:tc>
          <w:tcPr>
            <w:tcW w:w="2747"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实际值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Merge w:val="restart"/>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总体风险偏好</w:t>
            </w:r>
          </w:p>
        </w:tc>
        <w:tc>
          <w:tcPr>
            <w:tcW w:w="2208"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资本充足率</w:t>
            </w:r>
          </w:p>
        </w:tc>
        <w:tc>
          <w:tcPr>
            <w:tcW w:w="1855"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≥11.52%</w:t>
            </w:r>
          </w:p>
        </w:tc>
        <w:tc>
          <w:tcPr>
            <w:tcW w:w="2747"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82.97%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Merge w:val="continue"/>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p>
        </w:tc>
        <w:tc>
          <w:tcPr>
            <w:tcW w:w="2208"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一级资本充足率</w:t>
            </w:r>
          </w:p>
        </w:tc>
        <w:tc>
          <w:tcPr>
            <w:tcW w:w="1855"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≥9.0%</w:t>
            </w:r>
          </w:p>
        </w:tc>
        <w:tc>
          <w:tcPr>
            <w:tcW w:w="2747"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81.86%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Merge w:val="continue"/>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p>
        </w:tc>
        <w:tc>
          <w:tcPr>
            <w:tcW w:w="2208"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杠杆率</w:t>
            </w:r>
          </w:p>
        </w:tc>
        <w:tc>
          <w:tcPr>
            <w:tcW w:w="1855"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≥4.5%</w:t>
            </w:r>
          </w:p>
        </w:tc>
        <w:tc>
          <w:tcPr>
            <w:tcW w:w="2747"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59.28%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Merge w:val="continue"/>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p>
        </w:tc>
        <w:tc>
          <w:tcPr>
            <w:tcW w:w="2208"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总资产收益率（ROA）</w:t>
            </w:r>
          </w:p>
        </w:tc>
        <w:tc>
          <w:tcPr>
            <w:tcW w:w="1855"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≥0.70%</w:t>
            </w:r>
          </w:p>
        </w:tc>
        <w:tc>
          <w:tcPr>
            <w:tcW w:w="2747"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Merge w:val="continue"/>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p>
        </w:tc>
        <w:tc>
          <w:tcPr>
            <w:tcW w:w="2208"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不良贷款率</w:t>
            </w:r>
          </w:p>
        </w:tc>
        <w:tc>
          <w:tcPr>
            <w:tcW w:w="1855"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≤1.5%</w:t>
            </w:r>
          </w:p>
        </w:tc>
        <w:tc>
          <w:tcPr>
            <w:tcW w:w="2747"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Merge w:val="restart"/>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信用风险偏好</w:t>
            </w:r>
          </w:p>
        </w:tc>
        <w:tc>
          <w:tcPr>
            <w:tcW w:w="2208"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逾期90天以上贷款与不良贷款的比重</w:t>
            </w:r>
          </w:p>
        </w:tc>
        <w:tc>
          <w:tcPr>
            <w:tcW w:w="1855"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≤100%</w:t>
            </w:r>
          </w:p>
        </w:tc>
        <w:tc>
          <w:tcPr>
            <w:tcW w:w="2747"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40.51%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Merge w:val="continue"/>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p>
        </w:tc>
        <w:tc>
          <w:tcPr>
            <w:tcW w:w="2208"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逾期贷款率</w:t>
            </w:r>
          </w:p>
        </w:tc>
        <w:tc>
          <w:tcPr>
            <w:tcW w:w="1855"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≤2%</w:t>
            </w:r>
          </w:p>
        </w:tc>
        <w:tc>
          <w:tcPr>
            <w:tcW w:w="2747"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Merge w:val="continue"/>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p>
        </w:tc>
        <w:tc>
          <w:tcPr>
            <w:tcW w:w="2208"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非同业单一客户贷款集中度</w:t>
            </w:r>
          </w:p>
        </w:tc>
        <w:tc>
          <w:tcPr>
            <w:tcW w:w="1855"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≤9.5%</w:t>
            </w:r>
          </w:p>
        </w:tc>
        <w:tc>
          <w:tcPr>
            <w:tcW w:w="2747"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1486" w:type="dxa"/>
            <w:vMerge w:val="continue"/>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p>
        </w:tc>
        <w:tc>
          <w:tcPr>
            <w:tcW w:w="2208"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同业集团客户风险暴露集中度</w:t>
            </w:r>
          </w:p>
        </w:tc>
        <w:tc>
          <w:tcPr>
            <w:tcW w:w="1855"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≤24%</w:t>
            </w:r>
          </w:p>
        </w:tc>
        <w:tc>
          <w:tcPr>
            <w:tcW w:w="2747"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Merge w:val="continue"/>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p>
        </w:tc>
        <w:tc>
          <w:tcPr>
            <w:tcW w:w="2208"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单一集团关联客户集中度</w:t>
            </w:r>
          </w:p>
        </w:tc>
        <w:tc>
          <w:tcPr>
            <w:tcW w:w="1855"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≤14%</w:t>
            </w:r>
          </w:p>
        </w:tc>
        <w:tc>
          <w:tcPr>
            <w:tcW w:w="2747"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Merge w:val="restart"/>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操作风险偏好</w:t>
            </w:r>
          </w:p>
        </w:tc>
        <w:tc>
          <w:tcPr>
            <w:tcW w:w="2208"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非信贷涉诉案件损失率</w:t>
            </w:r>
          </w:p>
        </w:tc>
        <w:tc>
          <w:tcPr>
            <w:tcW w:w="1855"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≤万分之五</w:t>
            </w:r>
          </w:p>
        </w:tc>
        <w:tc>
          <w:tcPr>
            <w:tcW w:w="2747"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vMerge w:val="continue"/>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p>
        </w:tc>
        <w:tc>
          <w:tcPr>
            <w:tcW w:w="2208"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重要业务非计划中断次数</w:t>
            </w:r>
          </w:p>
        </w:tc>
        <w:tc>
          <w:tcPr>
            <w:tcW w:w="1855"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≤1</w:t>
            </w:r>
          </w:p>
        </w:tc>
        <w:tc>
          <w:tcPr>
            <w:tcW w:w="2747"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86" w:type="dxa"/>
            <w:shd w:val="clear" w:color="auto" w:fill="auto"/>
            <w:vAlign w:val="center"/>
          </w:tcPr>
          <w:p>
            <w:pPr>
              <w:keepNext w:val="0"/>
              <w:keepLines w:val="0"/>
              <w:pageBreakBefore w:val="0"/>
              <w:widowControl/>
              <w:kinsoku/>
              <w:wordWrap/>
              <w:overflowPunct/>
              <w:topLinePunct w:val="0"/>
              <w:autoSpaceDE/>
              <w:autoSpaceDN/>
              <w:bidi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市场风险偏好</w:t>
            </w:r>
          </w:p>
        </w:tc>
        <w:tc>
          <w:tcPr>
            <w:tcW w:w="2208" w:type="dxa"/>
            <w:shd w:val="clear" w:color="auto" w:fill="auto"/>
            <w:vAlign w:val="center"/>
          </w:tcPr>
          <w:p>
            <w:pPr>
              <w:keepNext w:val="0"/>
              <w:keepLines w:val="0"/>
              <w:pageBreakBefore w:val="0"/>
              <w:widowControl/>
              <w:kinsoku/>
              <w:wordWrap/>
              <w:overflowPunct/>
              <w:topLinePunct w:val="0"/>
              <w:autoSpaceDE/>
              <w:autoSpaceDN/>
              <w:bidi w:val="0"/>
              <w:spacing w:line="580" w:lineRule="exact"/>
              <w:jc w:val="left"/>
              <w:rPr>
                <w:rFonts w:ascii="Times New Roman" w:hAnsi="Times New Roman" w:eastAsia="方正仿宋_GBK" w:cs="Times New Roman"/>
                <w:sz w:val="24"/>
                <w:szCs w:val="32"/>
              </w:rPr>
            </w:pPr>
            <w:r>
              <w:rPr>
                <w:rFonts w:ascii="Times New Roman" w:hAnsi="Times New Roman" w:eastAsia="方正仿宋_GBK" w:cs="Times New Roman"/>
                <w:sz w:val="24"/>
                <w:szCs w:val="32"/>
              </w:rPr>
              <w:t>净息差（NIM）</w:t>
            </w:r>
          </w:p>
        </w:tc>
        <w:tc>
          <w:tcPr>
            <w:tcW w:w="1855"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≥3.8%</w:t>
            </w:r>
          </w:p>
        </w:tc>
        <w:tc>
          <w:tcPr>
            <w:tcW w:w="2747"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trPr>
        <w:tc>
          <w:tcPr>
            <w:tcW w:w="1486" w:type="dxa"/>
            <w:vMerge w:val="restart"/>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流动性风险偏好</w:t>
            </w:r>
          </w:p>
        </w:tc>
        <w:tc>
          <w:tcPr>
            <w:tcW w:w="2208"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流动性比例</w:t>
            </w:r>
          </w:p>
        </w:tc>
        <w:tc>
          <w:tcPr>
            <w:tcW w:w="1855"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≥30%</w:t>
            </w:r>
          </w:p>
        </w:tc>
        <w:tc>
          <w:tcPr>
            <w:tcW w:w="2747"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145.13%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1486" w:type="dxa"/>
            <w:vMerge w:val="continue"/>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p>
        </w:tc>
        <w:tc>
          <w:tcPr>
            <w:tcW w:w="2208"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流动性匹配率</w:t>
            </w:r>
          </w:p>
        </w:tc>
        <w:tc>
          <w:tcPr>
            <w:tcW w:w="1855"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≥105%</w:t>
            </w:r>
          </w:p>
        </w:tc>
        <w:tc>
          <w:tcPr>
            <w:tcW w:w="2747" w:type="dxa"/>
            <w:shd w:val="clear" w:color="auto" w:fill="auto"/>
            <w:vAlign w:val="center"/>
          </w:tcPr>
          <w:p>
            <w:pPr>
              <w:keepNext w:val="0"/>
              <w:keepLines w:val="0"/>
              <w:pageBreakBefore w:val="0"/>
              <w:kinsoku/>
              <w:wordWrap/>
              <w:overflowPunct/>
              <w:topLinePunct w:val="0"/>
              <w:autoSpaceDE/>
              <w:autoSpaceDN/>
              <w:bidi w:val="0"/>
              <w:snapToGrid w:val="0"/>
              <w:spacing w:line="580" w:lineRule="exact"/>
              <w:jc w:val="center"/>
              <w:rPr>
                <w:rFonts w:ascii="Times New Roman" w:hAnsi="Times New Roman" w:eastAsia="方正仿宋_GBK" w:cs="Times New Roman"/>
                <w:sz w:val="24"/>
                <w:szCs w:val="32"/>
              </w:rPr>
            </w:pPr>
            <w:r>
              <w:rPr>
                <w:rFonts w:ascii="Times New Roman" w:hAnsi="Times New Roman" w:eastAsia="方正仿宋_GBK" w:cs="Times New Roman"/>
                <w:sz w:val="24"/>
                <w:szCs w:val="32"/>
              </w:rPr>
              <w:t>41.41%</w:t>
            </w:r>
          </w:p>
        </w:tc>
      </w:tr>
    </w:tbl>
    <w:p>
      <w:pPr>
        <w:keepNext w:val="0"/>
        <w:keepLines w:val="0"/>
        <w:pageBreakBefore w:val="0"/>
        <w:kinsoku/>
        <w:wordWrap/>
        <w:overflowPunct/>
        <w:topLinePunct w:val="0"/>
        <w:autoSpaceDE/>
        <w:autoSpaceDN/>
        <w:bidi w:val="0"/>
        <w:spacing w:line="580" w:lineRule="exact"/>
        <w:ind w:firstLine="640" w:firstLineChars="20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三、风险计量、检测和管理信息系统</w:t>
      </w:r>
    </w:p>
    <w:p>
      <w:pPr>
        <w:keepNext w:val="0"/>
        <w:keepLines w:val="0"/>
        <w:pageBreakBefore w:val="0"/>
        <w:kinsoku/>
        <w:wordWrap/>
        <w:overflowPunct/>
        <w:topLinePunct w:val="0"/>
        <w:autoSpaceDE/>
        <w:autoSpaceDN/>
        <w:bidi w:val="0"/>
        <w:spacing w:line="580" w:lineRule="exact"/>
        <w:ind w:firstLine="640" w:firstLineChars="200"/>
        <w:rPr>
          <w:rFonts w:ascii="Times New Roman" w:hAnsi="Times New Roman" w:eastAsia="方正仿宋_GBK" w:cs="Times New Roman"/>
          <w:bCs/>
          <w:sz w:val="32"/>
          <w:szCs w:val="32"/>
        </w:rPr>
      </w:pPr>
      <w:r>
        <w:rPr>
          <w:rFonts w:ascii="Times New Roman" w:hAnsi="Times New Roman" w:eastAsia="方正仿宋_GBK" w:cs="Times New Roman"/>
          <w:bCs/>
          <w:sz w:val="32"/>
          <w:szCs w:val="32"/>
        </w:rPr>
        <w:t>依托发起行的信贷管理系统、综合业务系统、事后监督系统、审计预警系统、流动性风险管理系统、合规系统、综合报表平台等系统，能有效实现对信用风险、流动性风险、操作风险、市场风险等的识别、计量、评估、监测，根据监测数据按季开展流动性风险、信用风险、市场风险压力测试，有效控制各类风险。</w:t>
      </w:r>
    </w:p>
    <w:p>
      <w:pPr>
        <w:keepNext w:val="0"/>
        <w:keepLines w:val="0"/>
        <w:pageBreakBefore w:val="0"/>
        <w:kinsoku/>
        <w:wordWrap/>
        <w:overflowPunct/>
        <w:topLinePunct w:val="0"/>
        <w:autoSpaceDE/>
        <w:autoSpaceDN/>
        <w:bidi w:val="0"/>
        <w:spacing w:line="58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四、内部控制和全面审计情况</w:t>
      </w:r>
    </w:p>
    <w:p>
      <w:pPr>
        <w:keepNext w:val="0"/>
        <w:keepLines w:val="0"/>
        <w:pageBreakBefore w:val="0"/>
        <w:kinsoku/>
        <w:wordWrap/>
        <w:overflowPunct/>
        <w:topLinePunct w:val="0"/>
        <w:autoSpaceDE/>
        <w:autoSpaceDN/>
        <w:bidi w:val="0"/>
        <w:spacing w:line="580" w:lineRule="exact"/>
        <w:ind w:firstLine="640" w:firstLineChars="200"/>
        <w:rPr>
          <w:rFonts w:ascii="Times New Roman" w:hAnsi="Times New Roman" w:eastAsia="方正小标宋_GBK" w:cs="Times New Roman"/>
          <w:bCs/>
          <w:kern w:val="0"/>
          <w:sz w:val="32"/>
          <w:szCs w:val="32"/>
        </w:rPr>
      </w:pPr>
      <w:r>
        <w:rPr>
          <w:rFonts w:ascii="Times New Roman" w:hAnsi="Times New Roman" w:eastAsia="方正仿宋_GBK" w:cs="Times New Roman"/>
          <w:bCs/>
          <w:sz w:val="32"/>
          <w:szCs w:val="32"/>
        </w:rPr>
        <w:t>一是成立内控提升检查领导小组，行长亲自部署安排，通过细化方案、建立台账、强化问责等举措加强制度执行，提升内部治理水平。二是逢会必强调，对日常工作时时提醒，对问题疑惑实时解答，畅通渠道促进工作交流。三是层层落实，全行开展“内控管理巩固提升年”活动，自行开展全面自查，条线部门进行“梳理”工作，审计稽核岗进行再监督。2022年以来，我行各部门自查共发现问题26个，整改26个，整改率100%。四是将整治要点与日常检查、专项检查相结合，持续跟进和整治，坚决做到业务发展与内控提升并重。</w:t>
      </w:r>
    </w:p>
    <w:p>
      <w:pPr>
        <w:keepNext w:val="0"/>
        <w:keepLines w:val="0"/>
        <w:pageBreakBefore w:val="0"/>
        <w:widowControl/>
        <w:numPr>
          <w:ilvl w:val="0"/>
          <w:numId w:val="4"/>
        </w:numPr>
        <w:kinsoku/>
        <w:wordWrap/>
        <w:overflowPunct/>
        <w:topLinePunct w:val="0"/>
        <w:autoSpaceDE/>
        <w:autoSpaceDN/>
        <w:bidi w:val="0"/>
        <w:spacing w:line="580" w:lineRule="exact"/>
        <w:ind w:left="1080" w:leftChars="0" w:hanging="1080" w:firstLineChars="0"/>
        <w:jc w:val="center"/>
      </w:pPr>
      <w:r>
        <w:rPr>
          <w:rFonts w:ascii="Times New Roman" w:hAnsi="Times New Roman" w:eastAsia="方正小标宋_GBK" w:cs="Times New Roman"/>
          <w:bCs/>
          <w:kern w:val="0"/>
          <w:sz w:val="32"/>
          <w:szCs w:val="32"/>
        </w:rPr>
        <w:t> </w:t>
      </w:r>
      <w:r>
        <w:rPr>
          <w:rFonts w:hint="eastAsia" w:ascii="Times New Roman" w:hAnsi="Times New Roman" w:eastAsia="方正小标宋_GBK" w:cs="Times New Roman"/>
          <w:bCs/>
          <w:kern w:val="0"/>
          <w:sz w:val="32"/>
          <w:szCs w:val="32"/>
        </w:rPr>
        <w:t>消费者权益保护</w:t>
      </w:r>
      <w:r>
        <w:rPr>
          <w:rFonts w:hint="eastAsia" w:ascii="Times New Roman" w:hAnsi="Times New Roman" w:eastAsia="方正小标宋_GBK" w:cs="Times New Roman"/>
          <w:bCs/>
          <w:kern w:val="0"/>
          <w:sz w:val="32"/>
          <w:szCs w:val="32"/>
          <w:lang w:eastAsia="zh-CN"/>
        </w:rPr>
        <w:t>情况</w:t>
      </w:r>
    </w:p>
    <w:p>
      <w:pPr>
        <w:keepNext w:val="0"/>
        <w:keepLines w:val="0"/>
        <w:pageBreakBefore w:val="0"/>
        <w:tabs>
          <w:tab w:val="left" w:pos="0"/>
        </w:tabs>
        <w:kinsoku/>
        <w:wordWrap/>
        <w:overflowPunct/>
        <w:topLinePunct w:val="0"/>
        <w:autoSpaceDE/>
        <w:autoSpaceDN/>
        <w:bidi w:val="0"/>
        <w:adjustRightInd w:val="0"/>
        <w:snapToGrid w:val="0"/>
        <w:spacing w:line="58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一、</w:t>
      </w:r>
      <w:r>
        <w:rPr>
          <w:rFonts w:hint="eastAsia" w:ascii="Times New Roman" w:hAnsi="Times New Roman" w:eastAsia="方正黑体_GBK" w:cs="Times New Roman"/>
          <w:bCs/>
          <w:sz w:val="32"/>
          <w:szCs w:val="32"/>
        </w:rPr>
        <w:t>消费者投诉情况</w:t>
      </w:r>
    </w:p>
    <w:p>
      <w:pPr>
        <w:keepNext w:val="0"/>
        <w:keepLines w:val="0"/>
        <w:pageBreakBefore w:val="0"/>
        <w:tabs>
          <w:tab w:val="left" w:pos="0"/>
        </w:tabs>
        <w:kinsoku/>
        <w:wordWrap/>
        <w:overflowPunct/>
        <w:topLinePunct w:val="0"/>
        <w:autoSpaceDE/>
        <w:autoSpaceDN/>
        <w:bidi w:val="0"/>
        <w:adjustRightInd w:val="0"/>
        <w:snapToGrid w:val="0"/>
        <w:spacing w:line="5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本年度未收到各类投诉，投诉总量为零</w:t>
      </w:r>
      <w:r>
        <w:rPr>
          <w:rFonts w:ascii="Times New Roman" w:hAnsi="Times New Roman" w:eastAsia="方正仿宋_GBK" w:cs="Times New Roman"/>
          <w:sz w:val="32"/>
          <w:szCs w:val="32"/>
        </w:rPr>
        <w:t>。</w:t>
      </w:r>
    </w:p>
    <w:p>
      <w:pPr>
        <w:keepNext w:val="0"/>
        <w:keepLines w:val="0"/>
        <w:pageBreakBefore w:val="0"/>
        <w:tabs>
          <w:tab w:val="left" w:pos="0"/>
        </w:tabs>
        <w:kinsoku/>
        <w:wordWrap/>
        <w:overflowPunct/>
        <w:topLinePunct w:val="0"/>
        <w:autoSpaceDE/>
        <w:autoSpaceDN/>
        <w:bidi w:val="0"/>
        <w:adjustRightInd w:val="0"/>
        <w:snapToGrid w:val="0"/>
        <w:spacing w:line="580" w:lineRule="exact"/>
        <w:ind w:firstLine="640" w:firstLineChars="200"/>
        <w:rPr>
          <w:rFonts w:ascii="Times New Roman" w:hAnsi="Times New Roman" w:eastAsia="方正黑体_GBK" w:cs="Times New Roman"/>
          <w:bCs/>
          <w:sz w:val="32"/>
          <w:szCs w:val="32"/>
        </w:rPr>
      </w:pPr>
      <w:r>
        <w:rPr>
          <w:rFonts w:ascii="Times New Roman" w:hAnsi="Times New Roman" w:eastAsia="方正黑体_GBK" w:cs="Times New Roman"/>
          <w:bCs/>
          <w:sz w:val="32"/>
          <w:szCs w:val="32"/>
        </w:rPr>
        <w:t>二、</w:t>
      </w:r>
      <w:r>
        <w:rPr>
          <w:rFonts w:hint="eastAsia" w:ascii="Times New Roman" w:hAnsi="Times New Roman" w:eastAsia="方正黑体_GBK" w:cs="Times New Roman"/>
          <w:bCs/>
          <w:sz w:val="32"/>
          <w:szCs w:val="32"/>
        </w:rPr>
        <w:t>消费者权益保护重大信息</w:t>
      </w:r>
    </w:p>
    <w:p>
      <w:pPr>
        <w:keepNext w:val="0"/>
        <w:keepLines w:val="0"/>
        <w:pageBreakBefore w:val="0"/>
        <w:tabs>
          <w:tab w:val="left" w:pos="0"/>
        </w:tabs>
        <w:kinsoku/>
        <w:wordWrap/>
        <w:overflowPunct/>
        <w:topLinePunct w:val="0"/>
        <w:autoSpaceDE/>
        <w:autoSpaceDN/>
        <w:bidi w:val="0"/>
        <w:adjustRightInd w:val="0"/>
        <w:snapToGrid w:val="0"/>
        <w:spacing w:line="580" w:lineRule="exact"/>
        <w:ind w:firstLine="640" w:firstLineChars="200"/>
        <w:rPr>
          <w:rFonts w:hint="default"/>
        </w:rPr>
      </w:pPr>
      <w:r>
        <w:rPr>
          <w:rFonts w:hint="eastAsia" w:ascii="Times New Roman" w:hAnsi="Times New Roman" w:eastAsia="方正仿宋_GBK" w:cs="Times New Roman"/>
          <w:sz w:val="32"/>
          <w:szCs w:val="32"/>
        </w:rPr>
        <w:t>本年度无消费者权益保护重大信息</w:t>
      </w:r>
      <w:r>
        <w:rPr>
          <w:rFonts w:ascii="Times New Roman" w:hAnsi="Times New Roman" w:eastAsia="方正仿宋_GBK" w:cs="Times New Roman"/>
          <w:sz w:val="32"/>
          <w:szCs w:val="32"/>
        </w:rPr>
        <w:t>。</w:t>
      </w:r>
    </w:p>
    <w:p>
      <w:pPr>
        <w:keepNext w:val="0"/>
        <w:keepLines w:val="0"/>
        <w:pageBreakBefore w:val="0"/>
        <w:widowControl/>
        <w:numPr>
          <w:ilvl w:val="0"/>
          <w:numId w:val="4"/>
        </w:numPr>
        <w:kinsoku/>
        <w:wordWrap/>
        <w:overflowPunct/>
        <w:topLinePunct w:val="0"/>
        <w:autoSpaceDE/>
        <w:autoSpaceDN/>
        <w:bidi w:val="0"/>
        <w:spacing w:line="580" w:lineRule="exact"/>
        <w:ind w:left="1080" w:leftChars="0" w:hanging="1080" w:firstLineChars="0"/>
        <w:jc w:val="center"/>
        <w:rPr>
          <w:rFonts w:hint="default"/>
        </w:rPr>
      </w:pPr>
      <w:r>
        <w:rPr>
          <w:rFonts w:hint="default" w:ascii="Times New Roman" w:hAnsi="Times New Roman" w:eastAsia="方正小标宋_GBK" w:cs="Times New Roman"/>
          <w:bCs/>
          <w:color w:val="auto"/>
          <w:kern w:val="0"/>
          <w:sz w:val="32"/>
          <w:szCs w:val="32"/>
          <w:highlight w:val="none"/>
        </w:rPr>
        <w:t> 其他重要事项</w:t>
      </w:r>
    </w:p>
    <w:p>
      <w:pPr>
        <w:keepNext w:val="0"/>
        <w:keepLines w:val="0"/>
        <w:pageBreakBefore w:val="0"/>
        <w:widowControl/>
        <w:kinsoku/>
        <w:wordWrap/>
        <w:overflowPunct/>
        <w:topLinePunct w:val="0"/>
        <w:autoSpaceDE/>
        <w:autoSpaceDN/>
        <w:bidi w:val="0"/>
        <w:spacing w:line="580" w:lineRule="exact"/>
        <w:ind w:firstLine="640" w:firstLineChars="200"/>
        <w:jc w:val="left"/>
        <w:rPr>
          <w:rFonts w:ascii="Times New Roman" w:hAnsi="Times New Roman" w:eastAsia="方正仿宋_GBK" w:cs="Times New Roman"/>
          <w:sz w:val="32"/>
          <w:szCs w:val="32"/>
        </w:rPr>
      </w:pPr>
      <w:r>
        <w:rPr>
          <w:rFonts w:hint="default" w:ascii="Times New Roman" w:hAnsi="Times New Roman" w:eastAsia="方正黑体_GBK" w:cs="Times New Roman"/>
          <w:color w:val="auto"/>
          <w:kern w:val="0"/>
          <w:sz w:val="32"/>
          <w:szCs w:val="32"/>
          <w:highlight w:val="none"/>
        </w:rPr>
        <w:t>一、报告期内，无重大诉讼、仲裁事项。</w:t>
      </w:r>
      <w:r>
        <w:rPr>
          <w:rFonts w:ascii="Times New Roman" w:hAnsi="Times New Roman" w:eastAsia="方正仿宋_GBK" w:cs="Times New Roman"/>
          <w:sz w:val="32"/>
          <w:szCs w:val="32"/>
        </w:rPr>
        <w:t>但2022年，因清收不良贷款，涉及不良贷款诉讼案件5件，标的金额1</w:t>
      </w:r>
      <w:r>
        <w:rPr>
          <w:rFonts w:hint="eastAsia" w:ascii="Times New Roman" w:hAnsi="Times New Roman" w:eastAsia="方正仿宋_GBK" w:cs="Times New Roman"/>
          <w:sz w:val="32"/>
          <w:szCs w:val="32"/>
        </w:rPr>
        <w:t>5.8</w:t>
      </w:r>
      <w:r>
        <w:rPr>
          <w:rFonts w:ascii="Times New Roman" w:hAnsi="Times New Roman" w:eastAsia="方正仿宋_GBK" w:cs="Times New Roman"/>
          <w:sz w:val="32"/>
          <w:szCs w:val="32"/>
        </w:rPr>
        <w:t>万元，均已判决。</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rPr>
        <w:t>二、报告期内，未发生重大案件、重大差错等情况。</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rPr>
        <w:t>三、报告期内发生的关联交易已如实披露。</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rPr>
        <w:t>四、报告期内本公司各项业务合同履行情况正常，无重大合同纠纷发生。</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sz w:val="32"/>
          <w:szCs w:val="32"/>
        </w:rPr>
      </w:pPr>
      <w:r>
        <w:rPr>
          <w:rFonts w:hint="default" w:ascii="Times New Roman" w:hAnsi="Times New Roman" w:eastAsia="方正仿宋_GBK" w:cs="Times New Roman"/>
          <w:color w:val="auto"/>
          <w:kern w:val="0"/>
          <w:sz w:val="32"/>
          <w:szCs w:val="32"/>
          <w:highlight w:val="none"/>
        </w:rPr>
        <w:t>报告期内，除上述信息外，本公司无其他有必要让公众了解的重要信息。</w:t>
      </w:r>
    </w:p>
    <w:p>
      <w:pPr>
        <w:keepNext w:val="0"/>
        <w:keepLines w:val="0"/>
        <w:pageBreakBefore w:val="0"/>
        <w:widowControl/>
        <w:kinsoku/>
        <w:wordWrap/>
        <w:overflowPunct/>
        <w:topLinePunct w:val="0"/>
        <w:autoSpaceDE/>
        <w:autoSpaceDN/>
        <w:bidi w:val="0"/>
        <w:spacing w:line="580" w:lineRule="exact"/>
        <w:jc w:val="center"/>
        <w:rPr>
          <w:rFonts w:hint="default" w:ascii="Times New Roman" w:hAnsi="Times New Roman" w:eastAsia="方正小标宋_GBK" w:cs="Times New Roman"/>
          <w:bCs/>
          <w:color w:val="auto"/>
          <w:kern w:val="0"/>
          <w:sz w:val="32"/>
          <w:szCs w:val="32"/>
          <w:highlight w:val="none"/>
        </w:rPr>
      </w:pPr>
      <w:r>
        <w:rPr>
          <w:rFonts w:hint="default" w:ascii="Times New Roman" w:hAnsi="Times New Roman" w:eastAsia="方正小标宋_GBK" w:cs="Times New Roman"/>
          <w:bCs/>
          <w:color w:val="auto"/>
          <w:kern w:val="0"/>
          <w:sz w:val="32"/>
          <w:szCs w:val="32"/>
          <w:highlight w:val="none"/>
        </w:rPr>
        <w:t>第十</w:t>
      </w:r>
      <w:r>
        <w:rPr>
          <w:rFonts w:hint="eastAsia" w:ascii="Times New Roman" w:hAnsi="Times New Roman" w:eastAsia="方正小标宋_GBK" w:cs="Times New Roman"/>
          <w:bCs/>
          <w:color w:val="auto"/>
          <w:kern w:val="0"/>
          <w:sz w:val="32"/>
          <w:szCs w:val="32"/>
          <w:highlight w:val="none"/>
          <w:lang w:eastAsia="zh-CN"/>
        </w:rPr>
        <w:t>一</w:t>
      </w:r>
      <w:r>
        <w:rPr>
          <w:rFonts w:hint="default" w:ascii="Times New Roman" w:hAnsi="Times New Roman" w:eastAsia="方正小标宋_GBK" w:cs="Times New Roman"/>
          <w:bCs/>
          <w:color w:val="auto"/>
          <w:kern w:val="0"/>
          <w:sz w:val="32"/>
          <w:szCs w:val="32"/>
          <w:highlight w:val="none"/>
        </w:rPr>
        <w:t>节  财务报告</w:t>
      </w:r>
    </w:p>
    <w:p>
      <w:pPr>
        <w:keepNext w:val="0"/>
        <w:keepLines w:val="0"/>
        <w:pageBreakBefore w:val="0"/>
        <w:widowControl/>
        <w:kinsoku/>
        <w:wordWrap/>
        <w:overflowPunct/>
        <w:topLinePunct w:val="0"/>
        <w:autoSpaceDE/>
        <w:autoSpaceDN/>
        <w:bidi w:val="0"/>
        <w:spacing w:line="580" w:lineRule="exact"/>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rPr>
        <w:t>一、审计报告</w:t>
      </w:r>
      <w:r>
        <w:rPr>
          <w:rFonts w:hint="default" w:ascii="Times New Roman" w:hAnsi="Times New Roman" w:eastAsia="方正黑体_GBK" w:cs="Times New Roman"/>
          <w:color w:val="auto"/>
          <w:kern w:val="0"/>
          <w:sz w:val="32"/>
          <w:szCs w:val="32"/>
          <w:highlight w:val="none"/>
          <w:lang w:eastAsia="zh-CN"/>
        </w:rPr>
        <w:t>及财务报表</w:t>
      </w:r>
      <w:r>
        <w:rPr>
          <w:rFonts w:hint="default" w:ascii="Times New Roman" w:hAnsi="Times New Roman" w:eastAsia="方正仿宋_GBK" w:cs="Times New Roman"/>
          <w:color w:val="auto"/>
          <w:kern w:val="0"/>
          <w:sz w:val="32"/>
          <w:szCs w:val="32"/>
          <w:highlight w:val="none"/>
        </w:rPr>
        <w:t>（见附件）</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黑体_GBK" w:cs="Times New Roman"/>
          <w:color w:val="auto"/>
          <w:kern w:val="0"/>
          <w:sz w:val="32"/>
          <w:szCs w:val="32"/>
          <w:highlight w:val="none"/>
        </w:rPr>
      </w:pPr>
      <w:r>
        <w:rPr>
          <w:rFonts w:hint="default" w:ascii="Times New Roman" w:hAnsi="Times New Roman" w:eastAsia="方正黑体_GBK" w:cs="Times New Roman"/>
          <w:color w:val="auto"/>
          <w:kern w:val="0"/>
          <w:sz w:val="32"/>
          <w:szCs w:val="32"/>
          <w:highlight w:val="none"/>
          <w:lang w:eastAsia="zh-CN"/>
        </w:rPr>
        <w:t>二</w:t>
      </w:r>
      <w:r>
        <w:rPr>
          <w:rFonts w:hint="default" w:ascii="Times New Roman" w:hAnsi="Times New Roman" w:eastAsia="方正黑体_GBK" w:cs="Times New Roman"/>
          <w:color w:val="auto"/>
          <w:kern w:val="0"/>
          <w:sz w:val="32"/>
          <w:szCs w:val="32"/>
          <w:highlight w:val="none"/>
        </w:rPr>
        <w:t>、公司主要会计政策、会计估计和会计差错</w:t>
      </w:r>
    </w:p>
    <w:p>
      <w:pPr>
        <w:keepNext w:val="0"/>
        <w:keepLines w:val="0"/>
        <w:pageBreakBefore w:val="0"/>
        <w:widowControl/>
        <w:kinsoku/>
        <w:wordWrap/>
        <w:overflowPunct/>
        <w:topLinePunct w:val="0"/>
        <w:autoSpaceDE/>
        <w:autoSpaceDN/>
        <w:bidi w:val="0"/>
        <w:spacing w:line="580" w:lineRule="exact"/>
        <w:ind w:firstLine="640" w:firstLineChars="200"/>
        <w:jc w:val="both"/>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（一）会计年度：本公司会计年度自公历1月1日起至12月31日止。</w:t>
      </w:r>
    </w:p>
    <w:p>
      <w:pPr>
        <w:keepNext w:val="0"/>
        <w:keepLines w:val="0"/>
        <w:pageBreakBefore w:val="0"/>
        <w:widowControl/>
        <w:kinsoku/>
        <w:wordWrap/>
        <w:overflowPunct/>
        <w:topLinePunct w:val="0"/>
        <w:autoSpaceDE/>
        <w:autoSpaceDN/>
        <w:bidi w:val="0"/>
        <w:spacing w:line="580" w:lineRule="exact"/>
        <w:ind w:firstLine="640" w:firstLineChars="200"/>
        <w:jc w:val="both"/>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（二）记账本位币：本公司的记账本位币为人民币。</w:t>
      </w:r>
    </w:p>
    <w:p>
      <w:pPr>
        <w:keepNext w:val="0"/>
        <w:keepLines w:val="0"/>
        <w:pageBreakBefore w:val="0"/>
        <w:widowControl/>
        <w:kinsoku/>
        <w:wordWrap/>
        <w:overflowPunct/>
        <w:topLinePunct w:val="0"/>
        <w:autoSpaceDE/>
        <w:autoSpaceDN/>
        <w:bidi w:val="0"/>
        <w:spacing w:line="580" w:lineRule="exact"/>
        <w:ind w:firstLine="640" w:firstLineChars="200"/>
        <w:jc w:val="both"/>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（三）主要会计政策、会计估计和核算方法：</w:t>
      </w:r>
    </w:p>
    <w:p>
      <w:pPr>
        <w:keepNext w:val="0"/>
        <w:keepLines w:val="0"/>
        <w:pageBreakBefore w:val="0"/>
        <w:widowControl/>
        <w:kinsoku/>
        <w:wordWrap/>
        <w:overflowPunct/>
        <w:topLinePunct w:val="0"/>
        <w:autoSpaceDE/>
        <w:autoSpaceDN/>
        <w:bidi w:val="0"/>
        <w:spacing w:line="580" w:lineRule="exact"/>
        <w:ind w:firstLine="640" w:firstLineChars="200"/>
        <w:jc w:val="both"/>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（1）《企业会计准则》及其相关规定；</w:t>
      </w:r>
    </w:p>
    <w:p>
      <w:pPr>
        <w:keepNext w:val="0"/>
        <w:keepLines w:val="0"/>
        <w:pageBreakBefore w:val="0"/>
        <w:widowControl/>
        <w:kinsoku/>
        <w:wordWrap/>
        <w:overflowPunct/>
        <w:topLinePunct w:val="0"/>
        <w:autoSpaceDE/>
        <w:autoSpaceDN/>
        <w:bidi w:val="0"/>
        <w:spacing w:line="580" w:lineRule="exact"/>
        <w:ind w:firstLine="640" w:firstLineChars="200"/>
        <w:jc w:val="both"/>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（2）主发起行印发的《关于做好20</w:t>
      </w:r>
      <w:r>
        <w:rPr>
          <w:rFonts w:hint="default" w:ascii="Times New Roman" w:hAnsi="Times New Roman" w:eastAsia="方正仿宋_GBK" w:cs="Times New Roman"/>
          <w:color w:val="auto"/>
          <w:kern w:val="0"/>
          <w:sz w:val="32"/>
          <w:szCs w:val="32"/>
          <w:highlight w:val="none"/>
          <w:lang w:val="en-US" w:eastAsia="zh-CN"/>
        </w:rPr>
        <w:t>2</w:t>
      </w:r>
      <w:r>
        <w:rPr>
          <w:rFonts w:hint="eastAsia" w:ascii="Times New Roman" w:hAnsi="Times New Roman" w:eastAsia="方正仿宋_GBK" w:cs="Times New Roman"/>
          <w:color w:val="auto"/>
          <w:kern w:val="0"/>
          <w:sz w:val="32"/>
          <w:szCs w:val="32"/>
          <w:highlight w:val="none"/>
          <w:lang w:val="en-US" w:eastAsia="zh-CN"/>
        </w:rPr>
        <w:t>2</w:t>
      </w:r>
      <w:r>
        <w:rPr>
          <w:rFonts w:hint="default" w:ascii="Times New Roman" w:hAnsi="Times New Roman" w:eastAsia="方正仿宋_GBK" w:cs="Times New Roman"/>
          <w:color w:val="auto"/>
          <w:kern w:val="0"/>
          <w:sz w:val="32"/>
          <w:szCs w:val="32"/>
          <w:highlight w:val="none"/>
        </w:rPr>
        <w:t>年年终决算工作的通知》；</w:t>
      </w:r>
    </w:p>
    <w:p>
      <w:pPr>
        <w:keepNext w:val="0"/>
        <w:keepLines w:val="0"/>
        <w:pageBreakBefore w:val="0"/>
        <w:widowControl/>
        <w:kinsoku/>
        <w:wordWrap/>
        <w:overflowPunct/>
        <w:topLinePunct w:val="0"/>
        <w:autoSpaceDE/>
        <w:autoSpaceDN/>
        <w:bidi w:val="0"/>
        <w:spacing w:line="580" w:lineRule="exact"/>
        <w:ind w:firstLine="640" w:firstLineChars="200"/>
        <w:jc w:val="both"/>
        <w:rPr>
          <w:rFonts w:hint="default" w:ascii="Times New Roman" w:hAnsi="Times New Roman" w:eastAsia="方正仿宋_GBK" w:cs="Times New Roman"/>
          <w:color w:val="auto"/>
          <w:kern w:val="0"/>
          <w:sz w:val="32"/>
          <w:szCs w:val="32"/>
        </w:rPr>
      </w:pPr>
      <w:r>
        <w:rPr>
          <w:rFonts w:hint="default" w:ascii="Times New Roman" w:hAnsi="Times New Roman" w:eastAsia="方正仿宋_GBK" w:cs="Times New Roman"/>
          <w:color w:val="auto"/>
          <w:kern w:val="0"/>
          <w:sz w:val="32"/>
          <w:szCs w:val="32"/>
        </w:rPr>
        <w:t>（3）《</w:t>
      </w:r>
      <w:r>
        <w:rPr>
          <w:rFonts w:hint="default" w:ascii="Times New Roman" w:hAnsi="Times New Roman" w:eastAsia="方正仿宋_GBK" w:cs="Times New Roman"/>
          <w:color w:val="auto"/>
          <w:kern w:val="0"/>
          <w:sz w:val="32"/>
          <w:szCs w:val="32"/>
          <w:lang w:eastAsia="zh-CN"/>
        </w:rPr>
        <w:t>石狮</w:t>
      </w:r>
      <w:r>
        <w:rPr>
          <w:rFonts w:hint="default" w:ascii="Times New Roman" w:hAnsi="Times New Roman" w:eastAsia="方正仿宋_GBK" w:cs="Times New Roman"/>
          <w:color w:val="auto"/>
          <w:kern w:val="0"/>
          <w:sz w:val="32"/>
          <w:szCs w:val="32"/>
        </w:rPr>
        <w:t>渝农商村镇银行</w:t>
      </w:r>
      <w:bookmarkStart w:id="2" w:name="OLE_LINK2"/>
      <w:r>
        <w:rPr>
          <w:rFonts w:hint="default" w:ascii="Times New Roman" w:hAnsi="Times New Roman" w:eastAsia="方正仿宋_GBK" w:cs="Times New Roman"/>
          <w:color w:val="auto"/>
          <w:kern w:val="0"/>
          <w:sz w:val="32"/>
          <w:szCs w:val="32"/>
        </w:rPr>
        <w:t>会计基本制度</w:t>
      </w:r>
      <w:bookmarkEnd w:id="2"/>
      <w:r>
        <w:rPr>
          <w:rFonts w:hint="default" w:ascii="Times New Roman" w:hAnsi="Times New Roman" w:eastAsia="方正仿宋_GBK" w:cs="Times New Roman"/>
          <w:color w:val="auto"/>
          <w:kern w:val="0"/>
          <w:sz w:val="32"/>
          <w:szCs w:val="32"/>
        </w:rPr>
        <w:t>》。</w:t>
      </w:r>
    </w:p>
    <w:p>
      <w:pPr>
        <w:keepNext w:val="0"/>
        <w:keepLines w:val="0"/>
        <w:pageBreakBefore w:val="0"/>
        <w:widowControl/>
        <w:kinsoku/>
        <w:wordWrap/>
        <w:overflowPunct/>
        <w:topLinePunct w:val="0"/>
        <w:autoSpaceDE/>
        <w:autoSpaceDN/>
        <w:bidi w:val="0"/>
        <w:spacing w:line="580" w:lineRule="exact"/>
        <w:ind w:firstLine="640" w:firstLineChars="200"/>
        <w:jc w:val="left"/>
        <w:rPr>
          <w:rFonts w:hint="default" w:ascii="Times New Roman" w:hAnsi="Times New Roman" w:eastAsia="方正黑体_GBK" w:cs="Times New Roman"/>
          <w:color w:val="auto"/>
          <w:kern w:val="0"/>
          <w:sz w:val="32"/>
          <w:szCs w:val="32"/>
        </w:rPr>
      </w:pPr>
      <w:r>
        <w:rPr>
          <w:rFonts w:hint="default" w:ascii="Times New Roman" w:hAnsi="Times New Roman" w:eastAsia="方正黑体_GBK" w:cs="Times New Roman"/>
          <w:color w:val="auto"/>
          <w:kern w:val="0"/>
          <w:sz w:val="32"/>
          <w:szCs w:val="32"/>
          <w:lang w:eastAsia="zh-CN"/>
        </w:rPr>
        <w:t>三</w:t>
      </w:r>
      <w:r>
        <w:rPr>
          <w:rFonts w:hint="default" w:ascii="Times New Roman" w:hAnsi="Times New Roman" w:eastAsia="方正黑体_GBK" w:cs="Times New Roman"/>
          <w:color w:val="auto"/>
          <w:kern w:val="0"/>
          <w:sz w:val="32"/>
          <w:szCs w:val="32"/>
        </w:rPr>
        <w:t>、报告期内本公司没有重大会计差错更正。</w:t>
      </w:r>
    </w:p>
    <w:p>
      <w:pPr>
        <w:keepNext w:val="0"/>
        <w:keepLines w:val="0"/>
        <w:pageBreakBefore w:val="0"/>
        <w:widowControl/>
        <w:kinsoku/>
        <w:wordWrap/>
        <w:overflowPunct/>
        <w:topLinePunct w:val="0"/>
        <w:autoSpaceDE/>
        <w:autoSpaceDN/>
        <w:bidi w:val="0"/>
        <w:spacing w:line="580" w:lineRule="exact"/>
        <w:rPr>
          <w:rFonts w:hint="default" w:ascii="Times New Roman" w:hAnsi="Times New Roman" w:eastAsia="方正仿宋_GBK" w:cs="Times New Roman"/>
          <w:b/>
          <w:color w:val="auto"/>
          <w:kern w:val="0"/>
          <w:sz w:val="32"/>
          <w:szCs w:val="32"/>
        </w:rPr>
      </w:pPr>
    </w:p>
    <w:p>
      <w:pPr>
        <w:keepNext w:val="0"/>
        <w:keepLines w:val="0"/>
        <w:pageBreakBefore w:val="0"/>
        <w:widowControl/>
        <w:kinsoku/>
        <w:wordWrap/>
        <w:overflowPunct/>
        <w:topLinePunct w:val="0"/>
        <w:autoSpaceDE/>
        <w:autoSpaceDN/>
        <w:bidi w:val="0"/>
        <w:spacing w:line="580" w:lineRule="exact"/>
        <w:rPr>
          <w:rFonts w:hint="default" w:ascii="Times New Roman" w:hAnsi="Times New Roman" w:eastAsia="方正仿宋_GBK" w:cs="Times New Roman"/>
          <w:b/>
          <w:color w:val="auto"/>
          <w:kern w:val="0"/>
          <w:sz w:val="32"/>
          <w:szCs w:val="32"/>
        </w:rPr>
      </w:pPr>
    </w:p>
    <w:p>
      <w:pPr>
        <w:keepNext w:val="0"/>
        <w:keepLines w:val="0"/>
        <w:pageBreakBefore w:val="0"/>
        <w:widowControl/>
        <w:kinsoku/>
        <w:wordWrap/>
        <w:overflowPunct/>
        <w:topLinePunct w:val="0"/>
        <w:autoSpaceDE/>
        <w:autoSpaceDN/>
        <w:bidi w:val="0"/>
        <w:spacing w:line="580" w:lineRule="exact"/>
        <w:rPr>
          <w:rFonts w:hint="default" w:ascii="Times New Roman" w:hAnsi="Times New Roman" w:eastAsia="方正仿宋_GBK" w:cs="Times New Roman"/>
          <w:b w:val="0"/>
          <w:bCs/>
          <w:color w:val="auto"/>
          <w:kern w:val="0"/>
          <w:sz w:val="32"/>
          <w:szCs w:val="32"/>
          <w:lang w:val="en-US" w:eastAsia="zh-CN"/>
        </w:rPr>
      </w:pPr>
      <w:r>
        <w:rPr>
          <w:rFonts w:hint="default" w:ascii="Times New Roman" w:hAnsi="Times New Roman" w:eastAsia="方正仿宋_GBK" w:cs="Times New Roman"/>
          <w:b/>
          <w:color w:val="auto"/>
          <w:kern w:val="0"/>
          <w:sz w:val="32"/>
          <w:szCs w:val="32"/>
          <w:lang w:val="en-US" w:eastAsia="zh-CN"/>
        </w:rPr>
        <w:t xml:space="preserve">    </w:t>
      </w:r>
      <w:r>
        <w:rPr>
          <w:rFonts w:hint="default" w:ascii="Times New Roman" w:hAnsi="Times New Roman" w:eastAsia="方正仿宋_GBK" w:cs="Times New Roman"/>
          <w:b w:val="0"/>
          <w:bCs/>
          <w:color w:val="auto"/>
          <w:kern w:val="0"/>
          <w:sz w:val="32"/>
          <w:szCs w:val="32"/>
          <w:lang w:val="en-US" w:eastAsia="zh-CN"/>
        </w:rPr>
        <w:t>附件：202</w:t>
      </w:r>
      <w:r>
        <w:rPr>
          <w:rFonts w:hint="eastAsia" w:ascii="Times New Roman" w:hAnsi="Times New Roman" w:eastAsia="方正仿宋_GBK" w:cs="Times New Roman"/>
          <w:b w:val="0"/>
          <w:bCs/>
          <w:color w:val="auto"/>
          <w:kern w:val="0"/>
          <w:sz w:val="32"/>
          <w:szCs w:val="32"/>
          <w:lang w:val="en-US" w:eastAsia="zh-CN"/>
        </w:rPr>
        <w:t>2</w:t>
      </w:r>
      <w:r>
        <w:rPr>
          <w:rFonts w:hint="default" w:ascii="Times New Roman" w:hAnsi="Times New Roman" w:eastAsia="方正仿宋_GBK" w:cs="Times New Roman"/>
          <w:b w:val="0"/>
          <w:bCs/>
          <w:color w:val="auto"/>
          <w:kern w:val="0"/>
          <w:sz w:val="32"/>
          <w:szCs w:val="32"/>
          <w:lang w:val="en-US" w:eastAsia="zh-CN"/>
        </w:rPr>
        <w:t>年审计报告</w:t>
      </w:r>
    </w:p>
    <w:p>
      <w:pPr>
        <w:keepNext w:val="0"/>
        <w:keepLines w:val="0"/>
        <w:pageBreakBefore w:val="0"/>
        <w:widowControl/>
        <w:kinsoku/>
        <w:wordWrap/>
        <w:overflowPunct/>
        <w:topLinePunct w:val="0"/>
        <w:autoSpaceDE/>
        <w:autoSpaceDN/>
        <w:bidi w:val="0"/>
        <w:spacing w:line="580" w:lineRule="exact"/>
        <w:rPr>
          <w:rFonts w:hint="default" w:ascii="Times New Roman" w:hAnsi="Times New Roman" w:eastAsia="方正仿宋_GBK" w:cs="Times New Roman"/>
          <w:b/>
          <w:color w:val="auto"/>
          <w:kern w:val="0"/>
          <w:sz w:val="32"/>
          <w:szCs w:val="32"/>
        </w:rPr>
      </w:pPr>
    </w:p>
    <w:p>
      <w:pPr>
        <w:keepNext w:val="0"/>
        <w:keepLines w:val="0"/>
        <w:pageBreakBefore w:val="0"/>
        <w:widowControl/>
        <w:kinsoku/>
        <w:wordWrap/>
        <w:overflowPunct/>
        <w:topLinePunct w:val="0"/>
        <w:autoSpaceDE/>
        <w:autoSpaceDN/>
        <w:bidi w:val="0"/>
        <w:spacing w:line="580" w:lineRule="exact"/>
        <w:ind w:right="520" w:firstLine="3360" w:firstLineChars="1600"/>
        <w:jc w:val="both"/>
        <w:rPr>
          <w:rFonts w:hint="default" w:ascii="Times New Roman" w:hAnsi="Times New Roman" w:eastAsia="方正仿宋_GBK" w:cs="Times New Roman"/>
          <w:color w:val="auto"/>
        </w:rPr>
      </w:pPr>
    </w:p>
    <w:bookmarkEnd w:id="3"/>
    <w:sectPr>
      <w:headerReference r:id="rId3" w:type="default"/>
      <w:footerReference r:id="rId4" w:type="default"/>
      <w:footerReference r:id="rId5" w:type="even"/>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28</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F1F343"/>
    <w:multiLevelType w:val="singleLevel"/>
    <w:tmpl w:val="88F1F343"/>
    <w:lvl w:ilvl="0" w:tentative="0">
      <w:start w:val="3"/>
      <w:numFmt w:val="chineseCounting"/>
      <w:suff w:val="nothing"/>
      <w:lvlText w:val="%1、"/>
      <w:lvlJc w:val="left"/>
      <w:rPr>
        <w:rFonts w:hint="eastAsia"/>
      </w:rPr>
    </w:lvl>
  </w:abstractNum>
  <w:abstractNum w:abstractNumId="1">
    <w:nsid w:val="0000000A"/>
    <w:multiLevelType w:val="multilevel"/>
    <w:tmpl w:val="0000000A"/>
    <w:lvl w:ilvl="0" w:tentative="0">
      <w:start w:val="8"/>
      <w:numFmt w:val="japaneseCounting"/>
      <w:lvlText w:val="第%1节"/>
      <w:lvlJc w:val="left"/>
      <w:pPr>
        <w:tabs>
          <w:tab w:val="left" w:pos="1080"/>
        </w:tabs>
        <w:ind w:left="1080" w:hanging="1080"/>
      </w:pPr>
      <w:rPr>
        <w:rFonts w:hint="eastAsia" w:ascii="方正小标宋_GBK" w:hAnsi="方正小标宋_GBK" w:eastAsia="方正小标宋_GBK" w:cs="方正小标宋_GBK"/>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E6B362F"/>
    <w:multiLevelType w:val="singleLevel"/>
    <w:tmpl w:val="5E6B362F"/>
    <w:lvl w:ilvl="0" w:tentative="0">
      <w:start w:val="2"/>
      <w:numFmt w:val="chineseCounting"/>
      <w:suff w:val="space"/>
      <w:lvlText w:val="第%1节"/>
      <w:lvlJc w:val="left"/>
    </w:lvl>
  </w:abstractNum>
  <w:abstractNum w:abstractNumId="3">
    <w:nsid w:val="5E6F2ACF"/>
    <w:multiLevelType w:val="singleLevel"/>
    <w:tmpl w:val="5E6F2ACF"/>
    <w:lvl w:ilvl="0" w:tentative="0">
      <w:start w:val="1"/>
      <w:numFmt w:val="chineseCounting"/>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6B6E"/>
    <w:rsid w:val="00055DC1"/>
    <w:rsid w:val="000753E2"/>
    <w:rsid w:val="000A7336"/>
    <w:rsid w:val="000D6A05"/>
    <w:rsid w:val="000D6A2E"/>
    <w:rsid w:val="000D7C39"/>
    <w:rsid w:val="000F39A3"/>
    <w:rsid w:val="001065D3"/>
    <w:rsid w:val="00111AB6"/>
    <w:rsid w:val="00117F48"/>
    <w:rsid w:val="001269F1"/>
    <w:rsid w:val="00171429"/>
    <w:rsid w:val="00172A27"/>
    <w:rsid w:val="00180123"/>
    <w:rsid w:val="001A58CA"/>
    <w:rsid w:val="001E0AC2"/>
    <w:rsid w:val="001F63EB"/>
    <w:rsid w:val="002122AF"/>
    <w:rsid w:val="00251906"/>
    <w:rsid w:val="00272CC2"/>
    <w:rsid w:val="0029312E"/>
    <w:rsid w:val="002C1BF9"/>
    <w:rsid w:val="002E386F"/>
    <w:rsid w:val="002F353C"/>
    <w:rsid w:val="003371C6"/>
    <w:rsid w:val="00342E31"/>
    <w:rsid w:val="00354570"/>
    <w:rsid w:val="0037385A"/>
    <w:rsid w:val="00387254"/>
    <w:rsid w:val="003A292A"/>
    <w:rsid w:val="003A6DAC"/>
    <w:rsid w:val="003C3B29"/>
    <w:rsid w:val="0042076E"/>
    <w:rsid w:val="00444884"/>
    <w:rsid w:val="004A1168"/>
    <w:rsid w:val="004A2119"/>
    <w:rsid w:val="004A7268"/>
    <w:rsid w:val="004C65E1"/>
    <w:rsid w:val="004D5F4F"/>
    <w:rsid w:val="00557C84"/>
    <w:rsid w:val="00566645"/>
    <w:rsid w:val="00585878"/>
    <w:rsid w:val="005F620E"/>
    <w:rsid w:val="0060520D"/>
    <w:rsid w:val="00613CF8"/>
    <w:rsid w:val="00636404"/>
    <w:rsid w:val="006512C9"/>
    <w:rsid w:val="00655750"/>
    <w:rsid w:val="00670928"/>
    <w:rsid w:val="00680F65"/>
    <w:rsid w:val="006A02D4"/>
    <w:rsid w:val="006B1076"/>
    <w:rsid w:val="006C3F4A"/>
    <w:rsid w:val="006E1CCA"/>
    <w:rsid w:val="007322F6"/>
    <w:rsid w:val="00744D95"/>
    <w:rsid w:val="00746818"/>
    <w:rsid w:val="00747C4D"/>
    <w:rsid w:val="00777B7F"/>
    <w:rsid w:val="007B3DF3"/>
    <w:rsid w:val="00832D16"/>
    <w:rsid w:val="00871411"/>
    <w:rsid w:val="008830FD"/>
    <w:rsid w:val="008B67D0"/>
    <w:rsid w:val="008F0449"/>
    <w:rsid w:val="00945FC5"/>
    <w:rsid w:val="00A13316"/>
    <w:rsid w:val="00A25FD7"/>
    <w:rsid w:val="00A34C8F"/>
    <w:rsid w:val="00A47A1A"/>
    <w:rsid w:val="00A84B85"/>
    <w:rsid w:val="00AA483B"/>
    <w:rsid w:val="00AC6DDC"/>
    <w:rsid w:val="00AF0494"/>
    <w:rsid w:val="00AF4400"/>
    <w:rsid w:val="00B22018"/>
    <w:rsid w:val="00B27B07"/>
    <w:rsid w:val="00B323A5"/>
    <w:rsid w:val="00B37121"/>
    <w:rsid w:val="00B566A2"/>
    <w:rsid w:val="00B5715F"/>
    <w:rsid w:val="00B84862"/>
    <w:rsid w:val="00BC6788"/>
    <w:rsid w:val="00C2342D"/>
    <w:rsid w:val="00C418B6"/>
    <w:rsid w:val="00C432F9"/>
    <w:rsid w:val="00C47D1A"/>
    <w:rsid w:val="00C52565"/>
    <w:rsid w:val="00C74893"/>
    <w:rsid w:val="00C923FA"/>
    <w:rsid w:val="00CE132F"/>
    <w:rsid w:val="00D32F39"/>
    <w:rsid w:val="00D47347"/>
    <w:rsid w:val="00D52D44"/>
    <w:rsid w:val="00D64FF5"/>
    <w:rsid w:val="00D80049"/>
    <w:rsid w:val="00DE2641"/>
    <w:rsid w:val="00E00262"/>
    <w:rsid w:val="00E22290"/>
    <w:rsid w:val="00E34171"/>
    <w:rsid w:val="00E37812"/>
    <w:rsid w:val="00E80B3D"/>
    <w:rsid w:val="00E8157B"/>
    <w:rsid w:val="00E914DA"/>
    <w:rsid w:val="00EB008C"/>
    <w:rsid w:val="00EB4473"/>
    <w:rsid w:val="00EB7E76"/>
    <w:rsid w:val="00ED34A4"/>
    <w:rsid w:val="00EF2D07"/>
    <w:rsid w:val="00F10BBA"/>
    <w:rsid w:val="00F15BD1"/>
    <w:rsid w:val="00F40883"/>
    <w:rsid w:val="00F52523"/>
    <w:rsid w:val="00F6433C"/>
    <w:rsid w:val="00F807FD"/>
    <w:rsid w:val="00F9473A"/>
    <w:rsid w:val="00FA1DB3"/>
    <w:rsid w:val="00FE6C74"/>
    <w:rsid w:val="00FE7C5C"/>
    <w:rsid w:val="00FF16A5"/>
    <w:rsid w:val="02F32B3B"/>
    <w:rsid w:val="04B730E4"/>
    <w:rsid w:val="05655941"/>
    <w:rsid w:val="06524D5A"/>
    <w:rsid w:val="0A4E2424"/>
    <w:rsid w:val="0A520C93"/>
    <w:rsid w:val="0A5D67D7"/>
    <w:rsid w:val="0A894589"/>
    <w:rsid w:val="0CEA5D1A"/>
    <w:rsid w:val="0D741C6E"/>
    <w:rsid w:val="0E93627C"/>
    <w:rsid w:val="0F0025E7"/>
    <w:rsid w:val="0FFE48EE"/>
    <w:rsid w:val="11CF0D05"/>
    <w:rsid w:val="14E17A2E"/>
    <w:rsid w:val="17F10F9E"/>
    <w:rsid w:val="196B4EAA"/>
    <w:rsid w:val="1ACF57E4"/>
    <w:rsid w:val="1B1404C6"/>
    <w:rsid w:val="1C0A0AAD"/>
    <w:rsid w:val="1C12200A"/>
    <w:rsid w:val="1D651070"/>
    <w:rsid w:val="1D9A49D2"/>
    <w:rsid w:val="1E5F030B"/>
    <w:rsid w:val="1EDF338A"/>
    <w:rsid w:val="2162352F"/>
    <w:rsid w:val="21B46A0C"/>
    <w:rsid w:val="22380D4B"/>
    <w:rsid w:val="22693AF6"/>
    <w:rsid w:val="22AF0F18"/>
    <w:rsid w:val="23F94F6E"/>
    <w:rsid w:val="24413F5B"/>
    <w:rsid w:val="25330CB1"/>
    <w:rsid w:val="25A83195"/>
    <w:rsid w:val="28782C5E"/>
    <w:rsid w:val="28F057B1"/>
    <w:rsid w:val="2A854FE3"/>
    <w:rsid w:val="2C2562FF"/>
    <w:rsid w:val="2DC37966"/>
    <w:rsid w:val="2E4A0872"/>
    <w:rsid w:val="2FC90F9F"/>
    <w:rsid w:val="32685BE4"/>
    <w:rsid w:val="33EA5180"/>
    <w:rsid w:val="34406AF2"/>
    <w:rsid w:val="37746F3A"/>
    <w:rsid w:val="38B0710B"/>
    <w:rsid w:val="3907339B"/>
    <w:rsid w:val="39321A67"/>
    <w:rsid w:val="39D8646A"/>
    <w:rsid w:val="3B6328BA"/>
    <w:rsid w:val="3B7F216D"/>
    <w:rsid w:val="3C490C0B"/>
    <w:rsid w:val="3F0552C3"/>
    <w:rsid w:val="41126165"/>
    <w:rsid w:val="41431774"/>
    <w:rsid w:val="422A6791"/>
    <w:rsid w:val="423B559F"/>
    <w:rsid w:val="44115869"/>
    <w:rsid w:val="452E7317"/>
    <w:rsid w:val="47862C5A"/>
    <w:rsid w:val="47BB1F96"/>
    <w:rsid w:val="480B5A76"/>
    <w:rsid w:val="48D15F8D"/>
    <w:rsid w:val="48D270E9"/>
    <w:rsid w:val="4A670745"/>
    <w:rsid w:val="4AA25F7A"/>
    <w:rsid w:val="4B90738A"/>
    <w:rsid w:val="4DF95D9B"/>
    <w:rsid w:val="4E1014A6"/>
    <w:rsid w:val="4E880CD7"/>
    <w:rsid w:val="51472EA8"/>
    <w:rsid w:val="52BE1A4F"/>
    <w:rsid w:val="54FC5842"/>
    <w:rsid w:val="553779EB"/>
    <w:rsid w:val="56127A6C"/>
    <w:rsid w:val="56664895"/>
    <w:rsid w:val="56BD1262"/>
    <w:rsid w:val="577659E4"/>
    <w:rsid w:val="57954E4E"/>
    <w:rsid w:val="58327FF8"/>
    <w:rsid w:val="59DC6ADB"/>
    <w:rsid w:val="5C2E3DAB"/>
    <w:rsid w:val="5EA569B2"/>
    <w:rsid w:val="5EC21F24"/>
    <w:rsid w:val="5ED04262"/>
    <w:rsid w:val="5F6C0D90"/>
    <w:rsid w:val="60EF268B"/>
    <w:rsid w:val="61DA617F"/>
    <w:rsid w:val="61EA10ED"/>
    <w:rsid w:val="64BD30A1"/>
    <w:rsid w:val="67AA2BFC"/>
    <w:rsid w:val="68917970"/>
    <w:rsid w:val="6908424A"/>
    <w:rsid w:val="69311B7E"/>
    <w:rsid w:val="6AF90F17"/>
    <w:rsid w:val="6B3D17BA"/>
    <w:rsid w:val="6F0B3D72"/>
    <w:rsid w:val="712D14DC"/>
    <w:rsid w:val="72CF4600"/>
    <w:rsid w:val="75FB3D57"/>
    <w:rsid w:val="786B4BC3"/>
    <w:rsid w:val="7C281050"/>
    <w:rsid w:val="7CAE1F5E"/>
    <w:rsid w:val="7D214017"/>
    <w:rsid w:val="7D980ABE"/>
    <w:rsid w:val="7EB25BEF"/>
    <w:rsid w:val="7EC763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Title"/>
    <w:basedOn w:val="1"/>
    <w:qFormat/>
    <w:uiPriority w:val="10"/>
    <w:pPr>
      <w:spacing w:before="240" w:after="60"/>
      <w:jc w:val="center"/>
      <w:outlineLvl w:val="0"/>
    </w:pPr>
    <w:rPr>
      <w:rFonts w:ascii="Arial" w:hAnsi="Arial" w:cs="Arial"/>
      <w:b/>
      <w:bCs/>
      <w:szCs w:val="32"/>
    </w:r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pPr>
      <w:widowControl/>
      <w:tabs>
        <w:tab w:val="left" w:pos="420"/>
        <w:tab w:val="right" w:leader="dot" w:pos="9016"/>
      </w:tabs>
      <w:spacing w:after="240" w:line="240" w:lineRule="atLeast"/>
      <w:jc w:val="left"/>
    </w:pPr>
    <w:rPr>
      <w:rFonts w:ascii="华文仿宋" w:hAnsi="华文仿宋" w:eastAsia="仿宋_GB2312"/>
      <w:b/>
      <w:bCs/>
      <w:spacing w:val="-5"/>
      <w:kern w:val="0"/>
      <w:sz w:val="28"/>
      <w:szCs w:val="2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customStyle="1" w:styleId="14">
    <w:name w:val="列出段落1"/>
    <w:basedOn w:val="1"/>
    <w:qFormat/>
    <w:uiPriority w:val="0"/>
    <w:pPr>
      <w:ind w:firstLine="420" w:firstLineChars="200"/>
    </w:pPr>
    <w:rPr>
      <w:rFonts w:ascii="Calibri" w:hAnsi="Calibri" w:cs="黑体"/>
      <w:szCs w:val="22"/>
    </w:rPr>
  </w:style>
  <w:style w:type="paragraph" w:customStyle="1" w:styleId="15">
    <w:name w:val="p0"/>
    <w:basedOn w:val="1"/>
    <w:qFormat/>
    <w:uiPriority w:val="0"/>
    <w:pPr>
      <w:widowControl/>
    </w:pPr>
    <w:rPr>
      <w:rFonts w:ascii="Calibri" w:hAnsi="Calibri" w:cs="宋体"/>
      <w:kern w:val="0"/>
      <w:szCs w:val="21"/>
    </w:rPr>
  </w:style>
  <w:style w:type="character" w:customStyle="1" w:styleId="16">
    <w:name w:val="批注框文本 Char"/>
    <w:basedOn w:val="11"/>
    <w:link w:val="5"/>
    <w:qFormat/>
    <w:uiPriority w:val="0"/>
    <w:rPr>
      <w:kern w:val="2"/>
      <w:sz w:val="18"/>
      <w:szCs w:val="1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cqrcb</Company>
  <Pages>29</Pages>
  <Words>1697</Words>
  <Characters>9674</Characters>
  <Lines>80</Lines>
  <Paragraphs>22</Paragraphs>
  <TotalTime>23</TotalTime>
  <ScaleCrop>false</ScaleCrop>
  <LinksUpToDate>false</LinksUpToDate>
  <CharactersWithSpaces>11349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2020-04-29T07:23:00Z</dcterms:created>
  <dc:creator>香格里拉万俐娅</dc:creator>
  <cp:lastModifiedBy>吴育彬</cp:lastModifiedBy>
  <cp:lastPrinted>2020-05-09T09:06:00Z</cp:lastPrinted>
  <dcterms:modified xsi:type="dcterms:W3CDTF">2023-05-06T03:48:37Z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